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1DCD8" w14:textId="7749EA41" w:rsidR="00353BA7" w:rsidRDefault="00353BA7" w:rsidP="00353BA7">
      <w:pPr>
        <w:pStyle w:val="Formulartitel"/>
      </w:pPr>
      <w:r>
        <w:t>Handlungsanw</w:t>
      </w:r>
      <w:bookmarkStart w:id="0" w:name="_GoBack"/>
      <w:bookmarkEnd w:id="0"/>
      <w:r>
        <w:t>eisung bei V. a. sexuelle Gewalt</w:t>
      </w:r>
    </w:p>
    <w:p w14:paraId="5D52171E" w14:textId="77777777" w:rsidR="00353BA7" w:rsidRDefault="00353BA7" w:rsidP="00353BA7"/>
    <w:tbl>
      <w:tblPr>
        <w:tblStyle w:val="Tabellenraster"/>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902"/>
      </w:tblGrid>
      <w:tr w:rsidR="00353BA7" w14:paraId="5DEF45B0" w14:textId="77777777" w:rsidTr="00353BA7">
        <w:tc>
          <w:tcPr>
            <w:tcW w:w="2307" w:type="dxa"/>
            <w:hideMark/>
          </w:tcPr>
          <w:p w14:paraId="314DD322" w14:textId="77777777" w:rsidR="00353BA7" w:rsidRDefault="00353BA7">
            <w:pPr>
              <w:rPr>
                <w:b/>
              </w:rPr>
            </w:pPr>
            <w:r>
              <w:rPr>
                <w:b/>
              </w:rPr>
              <w:t>Allgemeiner Hintergrund</w:t>
            </w:r>
          </w:p>
        </w:tc>
        <w:tc>
          <w:tcPr>
            <w:tcW w:w="6902" w:type="dxa"/>
          </w:tcPr>
          <w:p w14:paraId="11A99526" w14:textId="77777777" w:rsidR="00353BA7" w:rsidRDefault="00353BA7" w:rsidP="00353BA7">
            <w:pPr>
              <w:pStyle w:val="Listenabsatz"/>
              <w:numPr>
                <w:ilvl w:val="0"/>
                <w:numId w:val="1"/>
              </w:numPr>
              <w:rPr>
                <w:rFonts w:ascii="Arial" w:hAnsi="Arial" w:cs="Arial"/>
                <w:sz w:val="22"/>
                <w:lang w:eastAsia="en-US"/>
              </w:rPr>
            </w:pPr>
            <w:r>
              <w:rPr>
                <w:rFonts w:ascii="Arial" w:hAnsi="Arial" w:cs="Arial"/>
                <w:sz w:val="22"/>
                <w:lang w:eastAsia="en-US"/>
              </w:rPr>
              <w:t>Je nach berücksichtigten Aspekten wie Schweregrad (z.B. mit/ohne Penetration), Art der sexuellen Handlungen (z.B. „</w:t>
            </w:r>
            <w:proofErr w:type="spellStart"/>
            <w:r>
              <w:rPr>
                <w:rFonts w:ascii="Arial" w:hAnsi="Arial" w:cs="Arial"/>
                <w:sz w:val="22"/>
                <w:lang w:eastAsia="en-US"/>
              </w:rPr>
              <w:t>hands</w:t>
            </w:r>
            <w:proofErr w:type="spellEnd"/>
            <w:r>
              <w:rPr>
                <w:rFonts w:ascii="Arial" w:hAnsi="Arial" w:cs="Arial"/>
                <w:sz w:val="22"/>
                <w:lang w:eastAsia="en-US"/>
              </w:rPr>
              <w:t>-on“ vs. „</w:t>
            </w:r>
            <w:proofErr w:type="spellStart"/>
            <w:r>
              <w:rPr>
                <w:rFonts w:ascii="Arial" w:hAnsi="Arial" w:cs="Arial"/>
                <w:sz w:val="22"/>
                <w:lang w:eastAsia="en-US"/>
              </w:rPr>
              <w:t>hands</w:t>
            </w:r>
            <w:proofErr w:type="spellEnd"/>
            <w:r>
              <w:rPr>
                <w:rFonts w:ascii="Arial" w:hAnsi="Arial" w:cs="Arial"/>
                <w:sz w:val="22"/>
                <w:lang w:eastAsia="en-US"/>
              </w:rPr>
              <w:t>-off“) oder Altersabstand zwischen Täter und Betroffenen bewegen sich die Angaben zur Häufigkeit Kinder betreffend um die 20 %.</w:t>
            </w:r>
          </w:p>
          <w:p w14:paraId="31CB8575" w14:textId="77777777" w:rsidR="00353BA7" w:rsidRDefault="00353BA7" w:rsidP="00353BA7">
            <w:pPr>
              <w:pStyle w:val="Listenabsatz"/>
              <w:numPr>
                <w:ilvl w:val="0"/>
                <w:numId w:val="1"/>
              </w:numPr>
              <w:rPr>
                <w:rFonts w:ascii="Arial" w:hAnsi="Arial" w:cs="Arial"/>
                <w:sz w:val="22"/>
                <w:lang w:eastAsia="en-US"/>
              </w:rPr>
            </w:pPr>
            <w:r>
              <w:rPr>
                <w:rFonts w:ascii="Arial" w:hAnsi="Arial" w:cs="Arial"/>
                <w:sz w:val="22"/>
                <w:lang w:eastAsia="en-US"/>
              </w:rPr>
              <w:t>Es gibt keine gesetzliche Verpflichtung zur Strafanzeige, d.h. Polizei muss nicht eingeschaltet werden, kann aber bei Bedarf dazu geholt werden, Entscheidung obliegt alleine dem Kind und seinen Eltern (sofern die Gefährdung nicht von einem Elternteil ausgeht).</w:t>
            </w:r>
          </w:p>
          <w:p w14:paraId="67CBAB40" w14:textId="77777777" w:rsidR="00353BA7" w:rsidRDefault="00353BA7" w:rsidP="00353BA7">
            <w:pPr>
              <w:pStyle w:val="Listenabsatz"/>
              <w:numPr>
                <w:ilvl w:val="0"/>
                <w:numId w:val="1"/>
              </w:numPr>
              <w:rPr>
                <w:rFonts w:ascii="Arial" w:hAnsi="Arial" w:cs="Arial"/>
                <w:sz w:val="22"/>
                <w:lang w:eastAsia="en-US"/>
              </w:rPr>
            </w:pPr>
            <w:r>
              <w:rPr>
                <w:rFonts w:ascii="Arial" w:hAnsi="Arial" w:cs="Arial"/>
                <w:sz w:val="22"/>
                <w:lang w:eastAsia="en-US"/>
              </w:rPr>
              <w:t>Problem: häufig erfolgt ärztliche Vorstellung lange nach dem stattgehabten Missbrauch</w:t>
            </w:r>
            <w:r>
              <w:rPr>
                <w:rFonts w:ascii="Arial" w:hAnsi="Arial" w:cs="Arial"/>
                <w:sz w:val="22"/>
                <w:lang w:eastAsia="en-US"/>
              </w:rPr>
              <w:sym w:font="Wingdings" w:char="F0E0"/>
            </w:r>
            <w:r>
              <w:rPr>
                <w:rFonts w:ascii="Arial" w:hAnsi="Arial" w:cs="Arial"/>
                <w:sz w:val="22"/>
                <w:lang w:eastAsia="en-US"/>
              </w:rPr>
              <w:t xml:space="preserve"> keine Spuren mehr erkennbar, deswegen: gute Anamnese sehr wichtig, da Diagnose eines sexuellen Kindesmissbrauchs häufig auf der fachlich korrekt, einfühlsam und nicht suggestiv erhobenen Aussage eines Kindes basiert.</w:t>
            </w:r>
          </w:p>
          <w:p w14:paraId="0B75969C" w14:textId="77777777" w:rsidR="00353BA7" w:rsidRDefault="00353BA7" w:rsidP="00353BA7">
            <w:pPr>
              <w:pStyle w:val="Listenabsatz"/>
              <w:numPr>
                <w:ilvl w:val="0"/>
                <w:numId w:val="1"/>
              </w:numPr>
              <w:rPr>
                <w:rFonts w:ascii="Arial" w:hAnsi="Arial" w:cs="Arial"/>
                <w:sz w:val="22"/>
                <w:lang w:eastAsia="en-US"/>
              </w:rPr>
            </w:pPr>
            <w:r>
              <w:rPr>
                <w:rFonts w:ascii="Arial" w:hAnsi="Arial" w:cs="Arial"/>
                <w:sz w:val="22"/>
                <w:lang w:eastAsia="en-US"/>
              </w:rPr>
              <w:t xml:space="preserve">In über 90% liegen körperliche Normalbefunde vor! </w:t>
            </w:r>
          </w:p>
          <w:p w14:paraId="391FA8C7" w14:textId="77777777" w:rsidR="00353BA7" w:rsidRDefault="00353BA7" w:rsidP="00353BA7">
            <w:pPr>
              <w:pStyle w:val="Listenabsatz"/>
              <w:numPr>
                <w:ilvl w:val="0"/>
                <w:numId w:val="1"/>
              </w:numPr>
              <w:rPr>
                <w:rFonts w:ascii="Arial" w:hAnsi="Arial" w:cs="Arial"/>
                <w:sz w:val="22"/>
                <w:lang w:eastAsia="en-US"/>
              </w:rPr>
            </w:pPr>
            <w:r>
              <w:rPr>
                <w:rFonts w:ascii="Arial" w:hAnsi="Arial" w:cs="Arial"/>
                <w:sz w:val="22"/>
                <w:lang w:eastAsia="en-US"/>
              </w:rPr>
              <w:t>Auch Jungen werden sexuell missbraucht.</w:t>
            </w:r>
          </w:p>
          <w:p w14:paraId="0E9AA66C" w14:textId="77777777" w:rsidR="00353BA7" w:rsidRDefault="00353BA7">
            <w:pPr>
              <w:rPr>
                <w:rFonts w:ascii="Arial" w:hAnsi="Arial" w:cs="Arial"/>
              </w:rPr>
            </w:pPr>
          </w:p>
        </w:tc>
      </w:tr>
      <w:tr w:rsidR="00353BA7" w14:paraId="536117EE" w14:textId="77777777" w:rsidTr="00353BA7">
        <w:tc>
          <w:tcPr>
            <w:tcW w:w="2307" w:type="dxa"/>
            <w:hideMark/>
          </w:tcPr>
          <w:p w14:paraId="3F516394" w14:textId="77777777" w:rsidR="00353BA7" w:rsidRDefault="00353BA7">
            <w:pPr>
              <w:rPr>
                <w:b/>
              </w:rPr>
            </w:pPr>
            <w:r>
              <w:rPr>
                <w:b/>
              </w:rPr>
              <w:t>Vorgehen</w:t>
            </w:r>
          </w:p>
        </w:tc>
        <w:tc>
          <w:tcPr>
            <w:tcW w:w="6902" w:type="dxa"/>
          </w:tcPr>
          <w:p w14:paraId="3065FB29" w14:textId="77777777" w:rsidR="00353BA7" w:rsidRDefault="00353BA7"/>
        </w:tc>
      </w:tr>
      <w:tr w:rsidR="00353BA7" w14:paraId="261B4C54" w14:textId="77777777" w:rsidTr="00353BA7">
        <w:tc>
          <w:tcPr>
            <w:tcW w:w="2307" w:type="dxa"/>
            <w:hideMark/>
          </w:tcPr>
          <w:p w14:paraId="4EDFDC9A" w14:textId="77777777" w:rsidR="00353BA7" w:rsidRDefault="00353BA7">
            <w:r>
              <w:t>Anamnese</w:t>
            </w:r>
          </w:p>
        </w:tc>
        <w:tc>
          <w:tcPr>
            <w:tcW w:w="6902" w:type="dxa"/>
            <w:vMerge w:val="restart"/>
          </w:tcPr>
          <w:p w14:paraId="7D1EE34C"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 xml:space="preserve">Vorsicht: emotionale Ausnahmesituation </w:t>
            </w:r>
            <w:r>
              <w:rPr>
                <w:rFonts w:ascii="Arial" w:hAnsi="Arial" w:cs="Arial"/>
                <w:sz w:val="22"/>
                <w:lang w:eastAsia="en-US"/>
              </w:rPr>
              <w:sym w:font="Wingdings" w:char="F0E0"/>
            </w:r>
            <w:r>
              <w:rPr>
                <w:rFonts w:ascii="Arial" w:hAnsi="Arial" w:cs="Arial"/>
                <w:sz w:val="22"/>
                <w:lang w:eastAsia="en-US"/>
              </w:rPr>
              <w:t xml:space="preserve"> Einfühlsamkeit, Ruhe, kein Zwingen zu Aussagen oder Untersuchungen, kein Überreden bzw. Festhalten </w:t>
            </w:r>
          </w:p>
          <w:p w14:paraId="2502D545"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je nach Alter spielerisches Vorgehen</w:t>
            </w:r>
          </w:p>
          <w:p w14:paraId="78BC78E0"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alles, was man macht, immer altersgerecht genau erklären</w:t>
            </w:r>
          </w:p>
          <w:p w14:paraId="71762E25"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wenn möglich separate Anamnese von Kind und Begleitperson</w:t>
            </w:r>
          </w:p>
          <w:p w14:paraId="5DD53C8C"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Fragen einfach, nicht führend, nicht suggestiv</w:t>
            </w:r>
          </w:p>
          <w:p w14:paraId="5880B17B"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ruhige Atmosphäre</w:t>
            </w:r>
          </w:p>
          <w:p w14:paraId="5C25A7BB"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freundlich und offen, Kind bestätigen, dass es gut ist, zu erzählen (häufig entlastend und therapeutisch)</w:t>
            </w:r>
          </w:p>
          <w:p w14:paraId="2BA087ED"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 xml:space="preserve">genaue Dokumentation des Vorfalls mit Datum, Uhrzeit, genauen Wortlaut dokumentieren (kenntlich machen was das Kind und was die Begleitperson gesagt hat) </w:t>
            </w:r>
          </w:p>
          <w:p w14:paraId="488B6484"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Dokumentation subjektiver Eindrücke vom Kind wie Aussehen, Verhalten, Eltern-Kind-Interaktion</w:t>
            </w:r>
          </w:p>
          <w:p w14:paraId="269BF87E" w14:textId="77777777" w:rsidR="00353BA7" w:rsidRDefault="00353BA7" w:rsidP="00353BA7">
            <w:pPr>
              <w:pStyle w:val="Listenabsatz"/>
              <w:numPr>
                <w:ilvl w:val="0"/>
                <w:numId w:val="2"/>
              </w:numPr>
              <w:spacing w:line="276" w:lineRule="auto"/>
              <w:rPr>
                <w:rFonts w:ascii="Arial" w:hAnsi="Arial" w:cs="Arial"/>
                <w:sz w:val="22"/>
                <w:lang w:eastAsia="en-US"/>
              </w:rPr>
            </w:pPr>
            <w:r>
              <w:rPr>
                <w:rFonts w:ascii="Arial" w:hAnsi="Arial" w:cs="Arial"/>
                <w:sz w:val="22"/>
                <w:lang w:eastAsia="en-US"/>
              </w:rPr>
              <w:t>Hinweise zur Kommunikation und Dokumentation unter BITQMS: Elterngespräche</w:t>
            </w:r>
          </w:p>
          <w:p w14:paraId="4898B9C3" w14:textId="77777777" w:rsidR="00353BA7" w:rsidRDefault="00353BA7">
            <w:pPr>
              <w:rPr>
                <w:rFonts w:ascii="Arial" w:hAnsi="Arial" w:cs="Arial"/>
              </w:rPr>
            </w:pPr>
          </w:p>
        </w:tc>
      </w:tr>
      <w:tr w:rsidR="00353BA7" w14:paraId="6D9AFE92" w14:textId="77777777" w:rsidTr="00353BA7">
        <w:tc>
          <w:tcPr>
            <w:tcW w:w="2307" w:type="dxa"/>
          </w:tcPr>
          <w:p w14:paraId="004BE7DE" w14:textId="77777777" w:rsidR="00353BA7" w:rsidRDefault="00353BA7"/>
        </w:tc>
        <w:tc>
          <w:tcPr>
            <w:tcW w:w="0" w:type="auto"/>
            <w:vMerge/>
            <w:vAlign w:val="center"/>
            <w:hideMark/>
          </w:tcPr>
          <w:p w14:paraId="7B0AEFB5" w14:textId="77777777" w:rsidR="00353BA7" w:rsidRDefault="00353BA7">
            <w:pPr>
              <w:rPr>
                <w:rFonts w:ascii="Arial" w:hAnsi="Arial" w:cs="Arial"/>
              </w:rPr>
            </w:pPr>
          </w:p>
        </w:tc>
      </w:tr>
      <w:tr w:rsidR="00353BA7" w14:paraId="77F93CC4" w14:textId="77777777" w:rsidTr="00353BA7">
        <w:tc>
          <w:tcPr>
            <w:tcW w:w="2307" w:type="dxa"/>
          </w:tcPr>
          <w:p w14:paraId="6E250D04" w14:textId="77777777" w:rsidR="00353BA7" w:rsidRDefault="00353BA7"/>
        </w:tc>
        <w:tc>
          <w:tcPr>
            <w:tcW w:w="0" w:type="auto"/>
            <w:vMerge/>
            <w:vAlign w:val="center"/>
            <w:hideMark/>
          </w:tcPr>
          <w:p w14:paraId="1E713489" w14:textId="77777777" w:rsidR="00353BA7" w:rsidRDefault="00353BA7">
            <w:pPr>
              <w:rPr>
                <w:rFonts w:ascii="Arial" w:hAnsi="Arial" w:cs="Arial"/>
              </w:rPr>
            </w:pPr>
          </w:p>
        </w:tc>
      </w:tr>
      <w:tr w:rsidR="00353BA7" w14:paraId="16D47FB9" w14:textId="77777777" w:rsidTr="00353BA7">
        <w:tc>
          <w:tcPr>
            <w:tcW w:w="2307" w:type="dxa"/>
          </w:tcPr>
          <w:p w14:paraId="2F9D129B" w14:textId="77777777" w:rsidR="00353BA7" w:rsidRDefault="00353BA7"/>
        </w:tc>
        <w:tc>
          <w:tcPr>
            <w:tcW w:w="0" w:type="auto"/>
            <w:vMerge/>
            <w:vAlign w:val="center"/>
            <w:hideMark/>
          </w:tcPr>
          <w:p w14:paraId="37DF9143" w14:textId="77777777" w:rsidR="00353BA7" w:rsidRDefault="00353BA7">
            <w:pPr>
              <w:rPr>
                <w:rFonts w:ascii="Arial" w:hAnsi="Arial" w:cs="Arial"/>
              </w:rPr>
            </w:pPr>
          </w:p>
        </w:tc>
      </w:tr>
      <w:tr w:rsidR="00353BA7" w14:paraId="2A350241" w14:textId="77777777" w:rsidTr="00353BA7">
        <w:tc>
          <w:tcPr>
            <w:tcW w:w="2307" w:type="dxa"/>
          </w:tcPr>
          <w:p w14:paraId="7134A183" w14:textId="77777777" w:rsidR="00353BA7" w:rsidRDefault="00353BA7"/>
        </w:tc>
        <w:tc>
          <w:tcPr>
            <w:tcW w:w="0" w:type="auto"/>
            <w:vMerge/>
            <w:vAlign w:val="center"/>
            <w:hideMark/>
          </w:tcPr>
          <w:p w14:paraId="0B251F78" w14:textId="77777777" w:rsidR="00353BA7" w:rsidRDefault="00353BA7">
            <w:pPr>
              <w:rPr>
                <w:rFonts w:ascii="Arial" w:hAnsi="Arial" w:cs="Arial"/>
              </w:rPr>
            </w:pPr>
          </w:p>
        </w:tc>
      </w:tr>
    </w:tbl>
    <w:p w14:paraId="4EA45247" w14:textId="77777777" w:rsidR="00353BA7" w:rsidRDefault="00353BA7" w:rsidP="00353BA7">
      <w:pPr>
        <w:rPr>
          <w:rFonts w:ascii="Arial" w:hAnsi="Arial" w:cs="Arial"/>
        </w:rPr>
      </w:pPr>
      <w:r>
        <w:br w:type="page"/>
      </w:r>
    </w:p>
    <w:tbl>
      <w:tblPr>
        <w:tblStyle w:val="Tabellenraster"/>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902"/>
      </w:tblGrid>
      <w:tr w:rsidR="00353BA7" w14:paraId="7EA4C29F" w14:textId="77777777" w:rsidTr="00353BA7">
        <w:tc>
          <w:tcPr>
            <w:tcW w:w="2307" w:type="dxa"/>
            <w:hideMark/>
          </w:tcPr>
          <w:p w14:paraId="10F53F65" w14:textId="77777777" w:rsidR="00353BA7" w:rsidRDefault="00353BA7">
            <w:pPr>
              <w:rPr>
                <w:color w:val="000000" w:themeColor="text1"/>
              </w:rPr>
            </w:pPr>
            <w:r>
              <w:rPr>
                <w:color w:val="000000" w:themeColor="text1"/>
              </w:rPr>
              <w:lastRenderedPageBreak/>
              <w:t xml:space="preserve">Körperliche </w:t>
            </w:r>
          </w:p>
          <w:p w14:paraId="2B8DB1C0" w14:textId="77777777" w:rsidR="00353BA7" w:rsidRDefault="00353BA7">
            <w:pPr>
              <w:rPr>
                <w:color w:val="000000" w:themeColor="text1"/>
              </w:rPr>
            </w:pPr>
            <w:r>
              <w:rPr>
                <w:color w:val="000000" w:themeColor="text1"/>
              </w:rPr>
              <w:t>Untersuchung</w:t>
            </w:r>
          </w:p>
        </w:tc>
        <w:tc>
          <w:tcPr>
            <w:tcW w:w="6902" w:type="dxa"/>
            <w:hideMark/>
          </w:tcPr>
          <w:p w14:paraId="75E8E518"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 xml:space="preserve">Zeitpunkt der körperlichen Untersuchung: </w:t>
            </w:r>
          </w:p>
          <w:p w14:paraId="02A9BB77" w14:textId="77777777" w:rsidR="00353BA7" w:rsidRDefault="00353BA7" w:rsidP="00353BA7">
            <w:pPr>
              <w:numPr>
                <w:ilvl w:val="1"/>
                <w:numId w:val="2"/>
              </w:numPr>
              <w:spacing w:after="160" w:line="276" w:lineRule="auto"/>
              <w:contextualSpacing/>
              <w:rPr>
                <w:rFonts w:eastAsia="Calibri"/>
                <w:color w:val="000000" w:themeColor="text1"/>
              </w:rPr>
            </w:pPr>
            <w:r>
              <w:rPr>
                <w:rFonts w:eastAsia="Calibri"/>
                <w:color w:val="000000" w:themeColor="text1"/>
              </w:rPr>
              <w:t xml:space="preserve">Missbrauch weniger als 3 Tage zurückliegend und/oder akute, blutende </w:t>
            </w:r>
            <w:proofErr w:type="spellStart"/>
            <w:r>
              <w:rPr>
                <w:rFonts w:eastAsia="Calibri"/>
                <w:color w:val="000000" w:themeColor="text1"/>
              </w:rPr>
              <w:t>anogenitale</w:t>
            </w:r>
            <w:proofErr w:type="spellEnd"/>
            <w:r>
              <w:rPr>
                <w:rFonts w:eastAsia="Calibri"/>
                <w:color w:val="000000" w:themeColor="text1"/>
              </w:rPr>
              <w:t xml:space="preserve"> Verletzungen</w:t>
            </w:r>
            <w:r>
              <w:rPr>
                <w:rFonts w:eastAsia="Calibri"/>
                <w:color w:val="000000" w:themeColor="text1"/>
              </w:rPr>
              <w:sym w:font="Wingdings" w:char="F0E0"/>
            </w:r>
            <w:r>
              <w:rPr>
                <w:rFonts w:eastAsia="Calibri"/>
                <w:color w:val="000000" w:themeColor="text1"/>
              </w:rPr>
              <w:t xml:space="preserve"> Untersuchung sofort </w:t>
            </w:r>
          </w:p>
          <w:p w14:paraId="44896D84" w14:textId="77777777" w:rsidR="00353BA7" w:rsidRDefault="00353BA7" w:rsidP="00353BA7">
            <w:pPr>
              <w:numPr>
                <w:ilvl w:val="1"/>
                <w:numId w:val="2"/>
              </w:numPr>
              <w:spacing w:after="160" w:line="276" w:lineRule="auto"/>
              <w:contextualSpacing/>
              <w:rPr>
                <w:rFonts w:eastAsia="Calibri"/>
                <w:color w:val="000000" w:themeColor="text1"/>
              </w:rPr>
            </w:pPr>
            <w:r>
              <w:rPr>
                <w:rFonts w:eastAsia="Calibri"/>
                <w:color w:val="000000" w:themeColor="text1"/>
              </w:rPr>
              <w:t xml:space="preserve">Missbrauch länger als 72 Std. zurückliegend und keine akuten Verletzungen </w:t>
            </w:r>
            <w:r>
              <w:rPr>
                <w:rFonts w:eastAsia="Calibri"/>
                <w:color w:val="000000" w:themeColor="text1"/>
              </w:rPr>
              <w:sym w:font="Wingdings" w:char="F0E0"/>
            </w:r>
            <w:r>
              <w:rPr>
                <w:rFonts w:eastAsia="Calibri"/>
                <w:color w:val="000000" w:themeColor="text1"/>
              </w:rPr>
              <w:t xml:space="preserve"> </w:t>
            </w:r>
            <w:proofErr w:type="spellStart"/>
            <w:r>
              <w:rPr>
                <w:rFonts w:eastAsia="Calibri"/>
                <w:color w:val="000000" w:themeColor="text1"/>
              </w:rPr>
              <w:t>anogenitale</w:t>
            </w:r>
            <w:proofErr w:type="spellEnd"/>
            <w:r>
              <w:rPr>
                <w:rFonts w:eastAsia="Calibri"/>
                <w:color w:val="000000" w:themeColor="text1"/>
              </w:rPr>
              <w:t xml:space="preserve"> Untersuchung kein Notfall</w:t>
            </w:r>
            <w:r>
              <w:rPr>
                <w:rFonts w:eastAsia="Calibri"/>
                <w:color w:val="000000" w:themeColor="text1"/>
              </w:rPr>
              <w:sym w:font="Wingdings" w:char="F0E0"/>
            </w:r>
            <w:r>
              <w:rPr>
                <w:rFonts w:eastAsia="Calibri"/>
                <w:color w:val="000000" w:themeColor="text1"/>
              </w:rPr>
              <w:t xml:space="preserve"> dennoch soweit möglich (d.h. soweit Kind kooperativ) Ganzkörperuntersuchung mit </w:t>
            </w:r>
            <w:proofErr w:type="spellStart"/>
            <w:r>
              <w:rPr>
                <w:rFonts w:eastAsia="Calibri"/>
                <w:color w:val="000000" w:themeColor="text1"/>
              </w:rPr>
              <w:t>anogenitaler</w:t>
            </w:r>
            <w:proofErr w:type="spellEnd"/>
            <w:r>
              <w:rPr>
                <w:rFonts w:eastAsia="Calibri"/>
                <w:color w:val="000000" w:themeColor="text1"/>
              </w:rPr>
              <w:t xml:space="preserve"> Inspektion durch Aufnahmearzt/</w:t>
            </w:r>
            <w:proofErr w:type="spellStart"/>
            <w:r>
              <w:rPr>
                <w:rFonts w:eastAsia="Calibri"/>
                <w:color w:val="000000" w:themeColor="text1"/>
              </w:rPr>
              <w:t>ärztin</w:t>
            </w:r>
            <w:proofErr w:type="spellEnd"/>
            <w:r>
              <w:rPr>
                <w:rFonts w:eastAsia="Calibri"/>
                <w:color w:val="000000" w:themeColor="text1"/>
              </w:rPr>
              <w:t xml:space="preserve"> (zum Ausschluss akuter Verletzung oder Erkrankung). Diese Kinder geplant zur ausführlichen Diagnostik in die Kinderschutzambulanz (Terminvereinbarung) schicken.</w:t>
            </w:r>
          </w:p>
          <w:p w14:paraId="673B3E04"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 xml:space="preserve">immer Ganzkörperstatus erheben, um extragenitale Zeichen sexueller oder koexistierender körperlicher Gewalt zu dokumentieren </w:t>
            </w:r>
          </w:p>
          <w:p w14:paraId="66C700DC"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Fotodokumentation von betroffenen Stellen, Hämatomen, Blutungen, Haaren, Fingernägeln, Intimbereich</w:t>
            </w:r>
          </w:p>
          <w:p w14:paraId="7B78D6DA"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Dokumentation zusätzlich auf dem Dokumentationsschema für Verletzungen, einschließlich Wortbeschreibungen</w:t>
            </w:r>
          </w:p>
          <w:p w14:paraId="65D76EB7"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Patient/in nie komplett unbekleidet lassen, bereits untersuchte Regionen wieder zudecken oder Hose/T-Shirt wieder anziehen lassen</w:t>
            </w:r>
          </w:p>
          <w:p w14:paraId="14BF56B2"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alles, was man macht, vorher ankündigen</w:t>
            </w:r>
          </w:p>
          <w:p w14:paraId="0B6DB9F1"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 xml:space="preserve">bei männlichen Untersuchern </w:t>
            </w:r>
            <w:r>
              <w:rPr>
                <w:rFonts w:eastAsia="Calibri"/>
                <w:b/>
                <w:color w:val="000000" w:themeColor="text1"/>
              </w:rPr>
              <w:t>muss</w:t>
            </w:r>
            <w:r>
              <w:rPr>
                <w:rFonts w:eastAsia="Calibri"/>
                <w:color w:val="000000" w:themeColor="text1"/>
              </w:rPr>
              <w:t xml:space="preserve"> eine weitere weibliche Person im Raum bleiben</w:t>
            </w:r>
          </w:p>
          <w:p w14:paraId="0B830CC6"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 xml:space="preserve">Verzicht auf jegliche Art von Zwang, Gewalt oder Druck, da Gefahr der </w:t>
            </w:r>
            <w:proofErr w:type="spellStart"/>
            <w:r>
              <w:rPr>
                <w:rFonts w:eastAsia="Calibri"/>
                <w:color w:val="000000" w:themeColor="text1"/>
              </w:rPr>
              <w:t>Reviktimisierung</w:t>
            </w:r>
            <w:proofErr w:type="spellEnd"/>
          </w:p>
          <w:p w14:paraId="3D8DC093"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Sedierung/Narkose nur bei akut blutender Verletzung indiziert</w:t>
            </w:r>
          </w:p>
          <w:p w14:paraId="0221AD89"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keine anale oder vaginale Palpation</w:t>
            </w:r>
          </w:p>
          <w:p w14:paraId="610B03FC" w14:textId="77777777" w:rsidR="00353BA7" w:rsidRDefault="00353BA7" w:rsidP="00353BA7">
            <w:pPr>
              <w:numPr>
                <w:ilvl w:val="0"/>
                <w:numId w:val="2"/>
              </w:numPr>
              <w:spacing w:after="160" w:line="276" w:lineRule="auto"/>
              <w:contextualSpacing/>
              <w:rPr>
                <w:rFonts w:eastAsia="Calibri"/>
                <w:color w:val="000000" w:themeColor="text1"/>
              </w:rPr>
            </w:pPr>
            <w:r>
              <w:rPr>
                <w:rFonts w:eastAsia="Calibri"/>
                <w:color w:val="000000" w:themeColor="text1"/>
              </w:rPr>
              <w:t>Gründe für körperliche Untersuchung: therapeutisch (Rückversicherung körperlicher Normalität, da oft verzerrte Körperwahrnehmung, Prophylaxe von Infektionen, Notfallkontrazeption, Therapie von Verletzungen)</w:t>
            </w:r>
          </w:p>
        </w:tc>
      </w:tr>
      <w:tr w:rsidR="00353BA7" w14:paraId="7F027C5C" w14:textId="77777777" w:rsidTr="00353BA7">
        <w:tc>
          <w:tcPr>
            <w:tcW w:w="2307" w:type="dxa"/>
          </w:tcPr>
          <w:p w14:paraId="11CB4A12" w14:textId="77777777" w:rsidR="00353BA7" w:rsidRDefault="00353BA7"/>
        </w:tc>
        <w:tc>
          <w:tcPr>
            <w:tcW w:w="6902" w:type="dxa"/>
          </w:tcPr>
          <w:p w14:paraId="3EE55534" w14:textId="77777777" w:rsidR="00353BA7" w:rsidRDefault="00353BA7"/>
        </w:tc>
      </w:tr>
    </w:tbl>
    <w:p w14:paraId="1D69D8C6" w14:textId="77777777" w:rsidR="00353BA7" w:rsidRDefault="00353BA7" w:rsidP="00353BA7">
      <w:pPr>
        <w:rPr>
          <w:rFonts w:ascii="Arial" w:hAnsi="Arial" w:cs="Arial"/>
        </w:rPr>
      </w:pPr>
      <w:r>
        <w:br w:type="page"/>
      </w:r>
    </w:p>
    <w:tbl>
      <w:tblPr>
        <w:tblStyle w:val="Tabellenraster"/>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902"/>
      </w:tblGrid>
      <w:tr w:rsidR="00353BA7" w14:paraId="448727F0" w14:textId="77777777" w:rsidTr="00353BA7">
        <w:tc>
          <w:tcPr>
            <w:tcW w:w="2307" w:type="dxa"/>
            <w:hideMark/>
          </w:tcPr>
          <w:p w14:paraId="00ADE772" w14:textId="77777777" w:rsidR="00353BA7" w:rsidRDefault="00353BA7">
            <w:proofErr w:type="spellStart"/>
            <w:r>
              <w:t>Asservierung</w:t>
            </w:r>
            <w:proofErr w:type="spellEnd"/>
            <w:r>
              <w:t xml:space="preserve"> von Material</w:t>
            </w:r>
          </w:p>
        </w:tc>
        <w:tc>
          <w:tcPr>
            <w:tcW w:w="6902" w:type="dxa"/>
          </w:tcPr>
          <w:p w14:paraId="2A94A6C7" w14:textId="77777777" w:rsidR="00353BA7" w:rsidRDefault="00353BA7" w:rsidP="00353BA7">
            <w:pPr>
              <w:pStyle w:val="Listenabsatz"/>
              <w:numPr>
                <w:ilvl w:val="0"/>
                <w:numId w:val="3"/>
              </w:numPr>
              <w:rPr>
                <w:rFonts w:ascii="Arial" w:hAnsi="Arial" w:cs="Arial"/>
                <w:sz w:val="22"/>
                <w:szCs w:val="22"/>
                <w:lang w:eastAsia="en-US"/>
              </w:rPr>
            </w:pPr>
            <w:r>
              <w:rPr>
                <w:rFonts w:ascii="Arial" w:hAnsi="Arial" w:cs="Arial"/>
                <w:sz w:val="22"/>
                <w:szCs w:val="22"/>
                <w:lang w:eastAsia="en-US"/>
              </w:rPr>
              <w:t>Immer selber sterile Handschuhe tragen</w:t>
            </w:r>
          </w:p>
          <w:p w14:paraId="23CEFA23" w14:textId="77777777" w:rsidR="00353BA7" w:rsidRDefault="00353BA7" w:rsidP="00353BA7">
            <w:pPr>
              <w:pStyle w:val="Listenabsatz"/>
              <w:numPr>
                <w:ilvl w:val="0"/>
                <w:numId w:val="3"/>
              </w:numPr>
              <w:rPr>
                <w:rFonts w:ascii="Arial" w:hAnsi="Arial" w:cs="Arial"/>
                <w:sz w:val="22"/>
                <w:szCs w:val="22"/>
                <w:lang w:eastAsia="en-US"/>
              </w:rPr>
            </w:pPr>
            <w:r>
              <w:rPr>
                <w:rFonts w:ascii="Arial" w:hAnsi="Arial" w:cs="Arial"/>
                <w:sz w:val="22"/>
                <w:szCs w:val="22"/>
                <w:lang w:eastAsia="en-US"/>
              </w:rPr>
              <w:t xml:space="preserve">Kind </w:t>
            </w:r>
            <w:r>
              <w:rPr>
                <w:rFonts w:ascii="Arial" w:hAnsi="Arial" w:cs="Arial"/>
                <w:b/>
                <w:sz w:val="22"/>
                <w:szCs w:val="22"/>
                <w:lang w:eastAsia="en-US"/>
              </w:rPr>
              <w:t xml:space="preserve">nicht </w:t>
            </w:r>
            <w:r>
              <w:rPr>
                <w:rFonts w:ascii="Arial" w:hAnsi="Arial" w:cs="Arial"/>
                <w:sz w:val="22"/>
                <w:szCs w:val="22"/>
                <w:lang w:eastAsia="en-US"/>
              </w:rPr>
              <w:t xml:space="preserve">duschen/waschen, Kleidung kann von uns </w:t>
            </w:r>
            <w:proofErr w:type="spellStart"/>
            <w:r>
              <w:rPr>
                <w:rFonts w:ascii="Arial" w:hAnsi="Arial" w:cs="Arial"/>
                <w:sz w:val="22"/>
                <w:szCs w:val="22"/>
                <w:lang w:eastAsia="en-US"/>
              </w:rPr>
              <w:t>asserviert</w:t>
            </w:r>
            <w:proofErr w:type="spellEnd"/>
            <w:r>
              <w:rPr>
                <w:rFonts w:ascii="Arial" w:hAnsi="Arial" w:cs="Arial"/>
                <w:sz w:val="22"/>
                <w:szCs w:val="22"/>
                <w:lang w:eastAsia="en-US"/>
              </w:rPr>
              <w:t xml:space="preserve"> werden (siehe unten)</w:t>
            </w:r>
          </w:p>
          <w:p w14:paraId="565EC786" w14:textId="77777777" w:rsidR="00353BA7" w:rsidRDefault="00353BA7" w:rsidP="00353BA7">
            <w:pPr>
              <w:numPr>
                <w:ilvl w:val="0"/>
                <w:numId w:val="3"/>
              </w:numPr>
              <w:spacing w:line="276" w:lineRule="auto"/>
              <w:jc w:val="both"/>
              <w:rPr>
                <w:rFonts w:ascii="Arial" w:hAnsi="Arial" w:cs="Arial"/>
              </w:rPr>
            </w:pPr>
            <w:r>
              <w:t>Wenn forensisch nötig: Kind immer in die Gynäkologie</w:t>
            </w:r>
            <w:r>
              <w:rPr>
                <w:color w:val="000000" w:themeColor="text1"/>
              </w:rPr>
              <w:t xml:space="preserve">/medizinische Kinderschutzambulanz/Bayerische Kinderschutzambulanz </w:t>
            </w:r>
            <w:r>
              <w:t xml:space="preserve">schicken </w:t>
            </w:r>
          </w:p>
          <w:p w14:paraId="0D1947B9" w14:textId="77777777" w:rsidR="00353BA7" w:rsidRDefault="00353BA7" w:rsidP="00353BA7">
            <w:pPr>
              <w:numPr>
                <w:ilvl w:val="0"/>
                <w:numId w:val="3"/>
              </w:numPr>
              <w:spacing w:line="276" w:lineRule="auto"/>
              <w:jc w:val="both"/>
            </w:pPr>
            <w:r>
              <w:t xml:space="preserve">Sperma meistens nicht am Körper, wichtiger </w:t>
            </w:r>
            <w:proofErr w:type="spellStart"/>
            <w:r>
              <w:t>Asservierung</w:t>
            </w:r>
            <w:proofErr w:type="spellEnd"/>
            <w:r>
              <w:t xml:space="preserve"> der Kleidung, die beim Missbrauch getragen wurde (hier kann Sperma noch nach Monaten nachgewiesen werden), oder Bettwäsche (alles trocken und in Papier </w:t>
            </w:r>
            <w:proofErr w:type="spellStart"/>
            <w:r>
              <w:t>asservieren</w:t>
            </w:r>
            <w:proofErr w:type="spellEnd"/>
            <w:r>
              <w:t>, da Feuchtigkeit DNA zerstört, keine Plastikbeutel!)</w:t>
            </w:r>
          </w:p>
          <w:p w14:paraId="1DE12C85" w14:textId="77777777" w:rsidR="00353BA7" w:rsidRDefault="00353BA7" w:rsidP="00353BA7">
            <w:pPr>
              <w:numPr>
                <w:ilvl w:val="0"/>
                <w:numId w:val="3"/>
              </w:numPr>
              <w:spacing w:line="276" w:lineRule="auto"/>
              <w:jc w:val="both"/>
            </w:pPr>
            <w:r>
              <w:t>Zeitraum: bis 72 Stunden nach Ereignis</w:t>
            </w:r>
          </w:p>
          <w:p w14:paraId="6275B984" w14:textId="77777777" w:rsidR="00353BA7" w:rsidRDefault="00353BA7" w:rsidP="00353BA7">
            <w:pPr>
              <w:numPr>
                <w:ilvl w:val="0"/>
                <w:numId w:val="3"/>
              </w:numPr>
              <w:spacing w:line="276" w:lineRule="auto"/>
              <w:jc w:val="both"/>
            </w:pPr>
            <w:r>
              <w:t xml:space="preserve">wenn Abstriche bei uns gemacht werden müssen: immer am und um den äußeren </w:t>
            </w:r>
            <w:proofErr w:type="spellStart"/>
            <w:r>
              <w:t>Anogenitalbereich</w:t>
            </w:r>
            <w:proofErr w:type="spellEnd"/>
            <w:r>
              <w:t xml:space="preserve">, </w:t>
            </w:r>
            <w:proofErr w:type="spellStart"/>
            <w:r>
              <w:t>perioral</w:t>
            </w:r>
            <w:proofErr w:type="spellEnd"/>
            <w:r>
              <w:t xml:space="preserve">, mit sterilem Wattetupfer, der mit NaCl 0,9% angefeuchtet wird, Abstrich machen, dann trocknen lassen  </w:t>
            </w:r>
          </w:p>
          <w:p w14:paraId="595AD691" w14:textId="77777777" w:rsidR="00353BA7" w:rsidRDefault="00353BA7" w:rsidP="00353BA7">
            <w:pPr>
              <w:numPr>
                <w:ilvl w:val="0"/>
                <w:numId w:val="3"/>
              </w:numPr>
              <w:spacing w:line="276" w:lineRule="auto"/>
              <w:jc w:val="both"/>
            </w:pPr>
            <w:r>
              <w:t>zusätzlich Objektträgerausstriche anfertigen, nicht ausstreichen, sondern abrollen</w:t>
            </w:r>
          </w:p>
          <w:p w14:paraId="0CE65BCF" w14:textId="77777777" w:rsidR="00353BA7" w:rsidRDefault="00353BA7" w:rsidP="00353BA7">
            <w:pPr>
              <w:numPr>
                <w:ilvl w:val="0"/>
                <w:numId w:val="3"/>
              </w:numPr>
              <w:spacing w:line="276" w:lineRule="auto"/>
              <w:jc w:val="both"/>
            </w:pPr>
            <w:r>
              <w:t>Fingernagelränder abschaben (bei berichteter Gegenwehr)</w:t>
            </w:r>
          </w:p>
          <w:p w14:paraId="7C5CD396" w14:textId="77777777" w:rsidR="00353BA7" w:rsidRDefault="00353BA7" w:rsidP="00353BA7">
            <w:pPr>
              <w:numPr>
                <w:ilvl w:val="0"/>
                <w:numId w:val="3"/>
              </w:numPr>
              <w:spacing w:line="276" w:lineRule="auto"/>
              <w:jc w:val="both"/>
            </w:pPr>
            <w:r>
              <w:t>Schamhaare auskämmen</w:t>
            </w:r>
          </w:p>
          <w:p w14:paraId="102E14F6" w14:textId="77777777" w:rsidR="00353BA7" w:rsidRDefault="00353BA7" w:rsidP="00353BA7">
            <w:pPr>
              <w:numPr>
                <w:ilvl w:val="0"/>
                <w:numId w:val="3"/>
              </w:numPr>
              <w:spacing w:line="276" w:lineRule="auto"/>
              <w:jc w:val="both"/>
            </w:pPr>
            <w:r>
              <w:t>ggf. Haare abschneiden, falls Spuren wie Sperma oder Blut darin</w:t>
            </w:r>
          </w:p>
          <w:p w14:paraId="52E6D165" w14:textId="77777777" w:rsidR="00353BA7" w:rsidRDefault="00353BA7" w:rsidP="00353BA7">
            <w:pPr>
              <w:numPr>
                <w:ilvl w:val="0"/>
                <w:numId w:val="3"/>
              </w:numPr>
              <w:spacing w:line="276" w:lineRule="auto"/>
              <w:jc w:val="both"/>
            </w:pPr>
            <w:r>
              <w:t>alles getrennt in separate Papierumschläge verpacken, richtig und leserlich beschriften mit Ort und Patientenaufkleber</w:t>
            </w:r>
          </w:p>
          <w:p w14:paraId="7BFBFA16" w14:textId="77777777" w:rsidR="00353BA7" w:rsidRDefault="00353BA7" w:rsidP="00353BA7">
            <w:pPr>
              <w:numPr>
                <w:ilvl w:val="0"/>
                <w:numId w:val="3"/>
              </w:numPr>
              <w:spacing w:line="276" w:lineRule="auto"/>
              <w:jc w:val="both"/>
            </w:pPr>
            <w:r>
              <w:t>auf Papierumschlag soll der Name des Entnehmenden stehen</w:t>
            </w:r>
          </w:p>
          <w:p w14:paraId="0CB61B80" w14:textId="77777777" w:rsidR="00353BA7" w:rsidRDefault="00353BA7" w:rsidP="00353BA7">
            <w:pPr>
              <w:numPr>
                <w:ilvl w:val="0"/>
                <w:numId w:val="3"/>
              </w:numPr>
              <w:spacing w:line="276" w:lineRule="auto"/>
              <w:jc w:val="both"/>
            </w:pPr>
            <w:r>
              <w:t>Material im Labor hinterlegen</w:t>
            </w:r>
          </w:p>
          <w:p w14:paraId="4149BA91" w14:textId="77777777" w:rsidR="00353BA7" w:rsidRDefault="00353BA7"/>
        </w:tc>
      </w:tr>
      <w:tr w:rsidR="00353BA7" w14:paraId="6AE7341E" w14:textId="77777777" w:rsidTr="00353BA7">
        <w:tc>
          <w:tcPr>
            <w:tcW w:w="2307" w:type="dxa"/>
            <w:hideMark/>
          </w:tcPr>
          <w:p w14:paraId="1014052C" w14:textId="77777777" w:rsidR="00353BA7" w:rsidRDefault="00353BA7">
            <w:r>
              <w:t>Weiterführende Diagnostik</w:t>
            </w:r>
          </w:p>
        </w:tc>
        <w:tc>
          <w:tcPr>
            <w:tcW w:w="6902" w:type="dxa"/>
          </w:tcPr>
          <w:p w14:paraId="6B171A6F" w14:textId="77777777" w:rsidR="00353BA7" w:rsidRDefault="00353BA7" w:rsidP="00353BA7">
            <w:pPr>
              <w:pStyle w:val="Listenabsatz"/>
              <w:numPr>
                <w:ilvl w:val="0"/>
                <w:numId w:val="4"/>
              </w:numPr>
              <w:spacing w:line="276" w:lineRule="auto"/>
              <w:rPr>
                <w:rFonts w:ascii="Arial" w:hAnsi="Arial" w:cs="Arial"/>
                <w:sz w:val="22"/>
                <w:szCs w:val="22"/>
                <w:lang w:eastAsia="en-US"/>
              </w:rPr>
            </w:pPr>
            <w:r>
              <w:rPr>
                <w:rFonts w:ascii="Arial" w:hAnsi="Arial" w:cs="Arial"/>
                <w:sz w:val="22"/>
                <w:szCs w:val="22"/>
                <w:lang w:eastAsia="en-US"/>
              </w:rPr>
              <w:t xml:space="preserve">Blutentnahme: Restserum für HIV- und </w:t>
            </w:r>
            <w:proofErr w:type="spellStart"/>
            <w:r>
              <w:rPr>
                <w:rFonts w:ascii="Arial" w:hAnsi="Arial" w:cs="Arial"/>
                <w:sz w:val="22"/>
                <w:szCs w:val="22"/>
                <w:lang w:eastAsia="en-US"/>
              </w:rPr>
              <w:t>Hepatitisserologie</w:t>
            </w:r>
            <w:proofErr w:type="spellEnd"/>
            <w:r>
              <w:rPr>
                <w:rFonts w:ascii="Arial" w:hAnsi="Arial" w:cs="Arial"/>
                <w:sz w:val="22"/>
                <w:szCs w:val="22"/>
                <w:lang w:eastAsia="en-US"/>
              </w:rPr>
              <w:t xml:space="preserve">, toxikologische Untersuchung bei V.a. Intoxikation </w:t>
            </w:r>
          </w:p>
          <w:p w14:paraId="705E1007" w14:textId="77777777" w:rsidR="00353BA7" w:rsidRDefault="00353BA7" w:rsidP="00353BA7">
            <w:pPr>
              <w:pStyle w:val="Listenabsatz"/>
              <w:numPr>
                <w:ilvl w:val="0"/>
                <w:numId w:val="4"/>
              </w:numPr>
              <w:spacing w:line="276" w:lineRule="auto"/>
              <w:rPr>
                <w:rFonts w:ascii="Arial" w:hAnsi="Arial" w:cs="Arial"/>
                <w:sz w:val="22"/>
                <w:szCs w:val="22"/>
                <w:lang w:eastAsia="en-US"/>
              </w:rPr>
            </w:pPr>
            <w:r>
              <w:rPr>
                <w:rFonts w:ascii="Arial" w:hAnsi="Arial" w:cs="Arial"/>
                <w:sz w:val="22"/>
                <w:szCs w:val="22"/>
                <w:lang w:eastAsia="en-US"/>
              </w:rPr>
              <w:t xml:space="preserve">Urinprobe: U-Status und ggf. toxikologische Untersuchung, Urin immer auch </w:t>
            </w:r>
            <w:proofErr w:type="spellStart"/>
            <w:r>
              <w:rPr>
                <w:rFonts w:ascii="Arial" w:hAnsi="Arial" w:cs="Arial"/>
                <w:sz w:val="22"/>
                <w:szCs w:val="22"/>
                <w:lang w:eastAsia="en-US"/>
              </w:rPr>
              <w:t>asservieren</w:t>
            </w:r>
            <w:proofErr w:type="spellEnd"/>
          </w:p>
          <w:p w14:paraId="6399D88C" w14:textId="77777777" w:rsidR="00353BA7" w:rsidRDefault="00353BA7" w:rsidP="00353BA7">
            <w:pPr>
              <w:pStyle w:val="Listenabsatz"/>
              <w:numPr>
                <w:ilvl w:val="0"/>
                <w:numId w:val="5"/>
              </w:numPr>
              <w:spacing w:line="276" w:lineRule="auto"/>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Psychologisches/kinderpsychiatrisches </w:t>
            </w:r>
            <w:proofErr w:type="spellStart"/>
            <w:r>
              <w:rPr>
                <w:rFonts w:ascii="Arial" w:hAnsi="Arial" w:cs="Arial"/>
                <w:color w:val="000000" w:themeColor="text1"/>
                <w:sz w:val="22"/>
                <w:szCs w:val="22"/>
                <w:lang w:eastAsia="en-US"/>
              </w:rPr>
              <w:t>Konsil</w:t>
            </w:r>
            <w:proofErr w:type="spellEnd"/>
          </w:p>
          <w:p w14:paraId="20156461" w14:textId="77777777" w:rsidR="00353BA7" w:rsidRDefault="00353BA7" w:rsidP="00353BA7">
            <w:pPr>
              <w:pStyle w:val="Listenabsatz"/>
              <w:numPr>
                <w:ilvl w:val="0"/>
                <w:numId w:val="5"/>
              </w:numPr>
              <w:spacing w:line="276" w:lineRule="auto"/>
              <w:rPr>
                <w:rFonts w:ascii="Arial" w:hAnsi="Arial" w:cs="Arial"/>
                <w:sz w:val="22"/>
                <w:szCs w:val="22"/>
                <w:lang w:eastAsia="en-US"/>
              </w:rPr>
            </w:pPr>
            <w:r>
              <w:rPr>
                <w:rFonts w:ascii="Arial" w:hAnsi="Arial" w:cs="Arial"/>
                <w:sz w:val="22"/>
                <w:szCs w:val="22"/>
                <w:lang w:eastAsia="en-US"/>
              </w:rPr>
              <w:t xml:space="preserve">Impfstatus erheben (Tetanus, Hepatitis B), ggf. </w:t>
            </w:r>
            <w:proofErr w:type="spellStart"/>
            <w:r>
              <w:rPr>
                <w:rFonts w:ascii="Arial" w:hAnsi="Arial" w:cs="Arial"/>
                <w:sz w:val="22"/>
                <w:szCs w:val="22"/>
                <w:lang w:eastAsia="en-US"/>
              </w:rPr>
              <w:t>Hepatitisimpfung</w:t>
            </w:r>
            <w:proofErr w:type="spellEnd"/>
            <w:r>
              <w:rPr>
                <w:rFonts w:ascii="Arial" w:hAnsi="Arial" w:cs="Arial"/>
                <w:sz w:val="22"/>
                <w:szCs w:val="22"/>
                <w:lang w:eastAsia="en-US"/>
              </w:rPr>
              <w:t xml:space="preserve"> durchführen</w:t>
            </w:r>
          </w:p>
          <w:p w14:paraId="6FB897D4" w14:textId="77777777" w:rsidR="00353BA7" w:rsidRDefault="00353BA7" w:rsidP="00353BA7">
            <w:pPr>
              <w:pStyle w:val="Listenabsatz"/>
              <w:numPr>
                <w:ilvl w:val="0"/>
                <w:numId w:val="5"/>
              </w:numPr>
              <w:spacing w:line="276" w:lineRule="auto"/>
              <w:rPr>
                <w:rFonts w:ascii="Arial" w:hAnsi="Arial" w:cs="Arial"/>
                <w:sz w:val="22"/>
                <w:szCs w:val="22"/>
                <w:lang w:eastAsia="en-US"/>
              </w:rPr>
            </w:pPr>
            <w:r>
              <w:rPr>
                <w:rFonts w:ascii="Arial" w:hAnsi="Arial" w:cs="Arial"/>
                <w:sz w:val="22"/>
                <w:szCs w:val="22"/>
                <w:lang w:eastAsia="en-US"/>
              </w:rPr>
              <w:t>Schwangerschaftstest bei Mädchen im gebärfähigem Alter</w:t>
            </w:r>
          </w:p>
          <w:p w14:paraId="17A5A1DF" w14:textId="77777777" w:rsidR="00353BA7" w:rsidRDefault="00353BA7" w:rsidP="00353BA7">
            <w:pPr>
              <w:pStyle w:val="Listenabsatz"/>
              <w:numPr>
                <w:ilvl w:val="0"/>
                <w:numId w:val="5"/>
              </w:numPr>
              <w:spacing w:line="276" w:lineRule="auto"/>
              <w:rPr>
                <w:rFonts w:ascii="Arial" w:hAnsi="Arial" w:cs="Arial"/>
                <w:sz w:val="22"/>
                <w:szCs w:val="22"/>
                <w:lang w:eastAsia="en-US"/>
              </w:rPr>
            </w:pPr>
            <w:r>
              <w:rPr>
                <w:rFonts w:ascii="Arial" w:hAnsi="Arial" w:cs="Arial"/>
                <w:sz w:val="22"/>
                <w:lang w:eastAsia="en-US"/>
              </w:rPr>
              <w:t xml:space="preserve">sexuell übertragbare Krankheiten: Kriterien: Hands on Missbrauchsanamnese, </w:t>
            </w:r>
            <w:proofErr w:type="spellStart"/>
            <w:r>
              <w:rPr>
                <w:rFonts w:ascii="Arial" w:hAnsi="Arial" w:cs="Arial"/>
                <w:sz w:val="22"/>
                <w:lang w:eastAsia="en-US"/>
              </w:rPr>
              <w:t>anogenitaler</w:t>
            </w:r>
            <w:proofErr w:type="spellEnd"/>
            <w:r>
              <w:rPr>
                <w:rFonts w:ascii="Arial" w:hAnsi="Arial" w:cs="Arial"/>
                <w:sz w:val="22"/>
                <w:lang w:eastAsia="en-US"/>
              </w:rPr>
              <w:t xml:space="preserve"> Fluor, penetrierendes Trauma oder Hinweise darauf, Besorgnis des Kindes oder der Eltern, lokal - genitale Läsionen:</w:t>
            </w:r>
          </w:p>
          <w:p w14:paraId="483F933F" w14:textId="77777777" w:rsidR="00353BA7" w:rsidRDefault="00353BA7" w:rsidP="00353BA7">
            <w:pPr>
              <w:pStyle w:val="Listenabsatz"/>
              <w:numPr>
                <w:ilvl w:val="0"/>
                <w:numId w:val="6"/>
              </w:numPr>
              <w:spacing w:line="276" w:lineRule="auto"/>
              <w:rPr>
                <w:rFonts w:ascii="Arial" w:hAnsi="Arial" w:cs="Arial"/>
                <w:sz w:val="22"/>
                <w:lang w:eastAsia="en-US"/>
              </w:rPr>
            </w:pPr>
            <w:r>
              <w:rPr>
                <w:rFonts w:ascii="Arial" w:hAnsi="Arial" w:cs="Arial"/>
                <w:sz w:val="22"/>
                <w:lang w:eastAsia="en-US"/>
              </w:rPr>
              <w:t>immer Abstriche (siehe Diagnostikleitlinie)</w:t>
            </w:r>
          </w:p>
          <w:p w14:paraId="4A00AA4F" w14:textId="77777777" w:rsidR="00353BA7" w:rsidRDefault="00353BA7" w:rsidP="00353BA7">
            <w:pPr>
              <w:pStyle w:val="Listenabsatz"/>
              <w:numPr>
                <w:ilvl w:val="0"/>
                <w:numId w:val="6"/>
              </w:numPr>
              <w:spacing w:line="276" w:lineRule="auto"/>
              <w:rPr>
                <w:rFonts w:ascii="Arial" w:hAnsi="Arial" w:cs="Arial"/>
                <w:sz w:val="22"/>
                <w:lang w:eastAsia="en-US"/>
              </w:rPr>
            </w:pPr>
            <w:r>
              <w:rPr>
                <w:rFonts w:ascii="Arial" w:hAnsi="Arial" w:cs="Arial"/>
                <w:sz w:val="22"/>
                <w:lang w:eastAsia="en-US"/>
              </w:rPr>
              <w:t xml:space="preserve">vaginale und anale Kulturen auf Gonorrhoe, </w:t>
            </w:r>
            <w:proofErr w:type="spellStart"/>
            <w:r>
              <w:rPr>
                <w:rFonts w:ascii="Arial" w:hAnsi="Arial" w:cs="Arial"/>
                <w:sz w:val="22"/>
                <w:lang w:eastAsia="en-US"/>
              </w:rPr>
              <w:t>Chlamydien</w:t>
            </w:r>
            <w:proofErr w:type="spellEnd"/>
          </w:p>
          <w:p w14:paraId="16926B0C" w14:textId="77777777" w:rsidR="00353BA7" w:rsidRDefault="00353BA7" w:rsidP="00353BA7">
            <w:pPr>
              <w:pStyle w:val="Listenabsatz"/>
              <w:numPr>
                <w:ilvl w:val="0"/>
                <w:numId w:val="6"/>
              </w:numPr>
              <w:spacing w:line="276" w:lineRule="auto"/>
              <w:rPr>
                <w:rFonts w:ascii="Arial" w:hAnsi="Arial" w:cs="Arial"/>
                <w:sz w:val="22"/>
                <w:lang w:eastAsia="en-US"/>
              </w:rPr>
            </w:pPr>
            <w:r>
              <w:rPr>
                <w:rFonts w:ascii="Arial" w:hAnsi="Arial" w:cs="Arial"/>
                <w:sz w:val="22"/>
                <w:lang w:eastAsia="en-US"/>
              </w:rPr>
              <w:t xml:space="preserve">Nativausstrich auf </w:t>
            </w:r>
            <w:proofErr w:type="spellStart"/>
            <w:r>
              <w:rPr>
                <w:rFonts w:ascii="Arial" w:hAnsi="Arial" w:cs="Arial"/>
                <w:sz w:val="22"/>
                <w:lang w:eastAsia="en-US"/>
              </w:rPr>
              <w:t>Trichomonas</w:t>
            </w:r>
            <w:proofErr w:type="spellEnd"/>
            <w:r>
              <w:rPr>
                <w:rFonts w:ascii="Arial" w:hAnsi="Arial" w:cs="Arial"/>
                <w:sz w:val="22"/>
                <w:lang w:eastAsia="en-US"/>
              </w:rPr>
              <w:t xml:space="preserve"> </w:t>
            </w:r>
            <w:proofErr w:type="spellStart"/>
            <w:r>
              <w:rPr>
                <w:rFonts w:ascii="Arial" w:hAnsi="Arial" w:cs="Arial"/>
                <w:sz w:val="22"/>
                <w:lang w:eastAsia="en-US"/>
              </w:rPr>
              <w:t>vaginalis</w:t>
            </w:r>
            <w:proofErr w:type="spellEnd"/>
          </w:p>
          <w:p w14:paraId="0A2176BE" w14:textId="77777777" w:rsidR="00353BA7" w:rsidRDefault="00353BA7" w:rsidP="00353BA7">
            <w:pPr>
              <w:pStyle w:val="Listenabsatz"/>
              <w:numPr>
                <w:ilvl w:val="0"/>
                <w:numId w:val="6"/>
              </w:numPr>
              <w:spacing w:line="276" w:lineRule="auto"/>
              <w:rPr>
                <w:rFonts w:ascii="Arial" w:hAnsi="Arial" w:cs="Arial"/>
                <w:sz w:val="22"/>
                <w:lang w:eastAsia="en-US"/>
              </w:rPr>
            </w:pPr>
            <w:proofErr w:type="spellStart"/>
            <w:r>
              <w:rPr>
                <w:rFonts w:ascii="Arial" w:hAnsi="Arial" w:cs="Arial"/>
                <w:sz w:val="22"/>
                <w:lang w:eastAsia="en-US"/>
              </w:rPr>
              <w:t>pharyngealer</w:t>
            </w:r>
            <w:proofErr w:type="spellEnd"/>
            <w:r>
              <w:rPr>
                <w:rFonts w:ascii="Arial" w:hAnsi="Arial" w:cs="Arial"/>
                <w:sz w:val="22"/>
                <w:lang w:eastAsia="en-US"/>
              </w:rPr>
              <w:t xml:space="preserve"> Gonorrhoe-Abstrich</w:t>
            </w:r>
          </w:p>
          <w:p w14:paraId="40D50029" w14:textId="77777777" w:rsidR="00353BA7" w:rsidRDefault="00353BA7" w:rsidP="00353BA7">
            <w:pPr>
              <w:pStyle w:val="Listenabsatz"/>
              <w:numPr>
                <w:ilvl w:val="0"/>
                <w:numId w:val="6"/>
              </w:numPr>
              <w:spacing w:line="276" w:lineRule="auto"/>
              <w:rPr>
                <w:rFonts w:ascii="Arial" w:hAnsi="Arial" w:cs="Arial"/>
                <w:sz w:val="22"/>
                <w:lang w:eastAsia="en-US"/>
              </w:rPr>
            </w:pPr>
            <w:r>
              <w:rPr>
                <w:rFonts w:ascii="Arial" w:hAnsi="Arial" w:cs="Arial"/>
                <w:sz w:val="22"/>
                <w:lang w:eastAsia="en-US"/>
              </w:rPr>
              <w:t>ggf. Screening auf Syphilis, Hepatitis B und HIV (Serum)</w:t>
            </w:r>
          </w:p>
          <w:p w14:paraId="4673F405" w14:textId="6EA94829" w:rsidR="00353BA7" w:rsidRDefault="00353BA7" w:rsidP="00353BA7">
            <w:pPr>
              <w:pStyle w:val="Listenabsatz"/>
              <w:numPr>
                <w:ilvl w:val="0"/>
                <w:numId w:val="6"/>
              </w:numPr>
              <w:spacing w:line="276" w:lineRule="auto"/>
              <w:rPr>
                <w:rFonts w:ascii="Arial" w:hAnsi="Arial" w:cs="Arial"/>
                <w:sz w:val="22"/>
                <w:lang w:eastAsia="en-US"/>
              </w:rPr>
            </w:pPr>
            <w:proofErr w:type="spellStart"/>
            <w:r>
              <w:rPr>
                <w:rFonts w:ascii="Arial" w:hAnsi="Arial" w:cs="Arial"/>
                <w:sz w:val="22"/>
                <w:lang w:eastAsia="en-US"/>
              </w:rPr>
              <w:t>Condylomata</w:t>
            </w:r>
            <w:proofErr w:type="spellEnd"/>
            <w:r>
              <w:rPr>
                <w:rFonts w:ascii="Arial" w:hAnsi="Arial" w:cs="Arial"/>
                <w:sz w:val="22"/>
                <w:lang w:eastAsia="en-US"/>
              </w:rPr>
              <w:t xml:space="preserve"> </w:t>
            </w:r>
            <w:proofErr w:type="spellStart"/>
            <w:r>
              <w:rPr>
                <w:rFonts w:ascii="Arial" w:hAnsi="Arial" w:cs="Arial"/>
                <w:sz w:val="22"/>
                <w:lang w:eastAsia="en-US"/>
              </w:rPr>
              <w:t>acuminata</w:t>
            </w:r>
            <w:proofErr w:type="spellEnd"/>
            <w:r>
              <w:rPr>
                <w:rFonts w:ascii="Arial" w:hAnsi="Arial" w:cs="Arial"/>
                <w:sz w:val="22"/>
                <w:lang w:eastAsia="en-US"/>
              </w:rPr>
              <w:t xml:space="preserve"> sind bei Kindern jenseits von 3 Jahren verdächtiger und sollten bei Anhaltspunkten ein weitergehendes und umfassendes Screening auf sexuell übertragene Erkrankungen nach sich ziehen, zusätzlich eine Untersuchung hinsichtlich spezifischer </w:t>
            </w:r>
            <w:proofErr w:type="spellStart"/>
            <w:r>
              <w:rPr>
                <w:rFonts w:ascii="Arial" w:hAnsi="Arial" w:cs="Arial"/>
                <w:sz w:val="22"/>
                <w:lang w:eastAsia="en-US"/>
              </w:rPr>
              <w:t>Anogenitalbefunde</w:t>
            </w:r>
            <w:proofErr w:type="spellEnd"/>
            <w:r>
              <w:rPr>
                <w:rFonts w:ascii="Arial" w:hAnsi="Arial" w:cs="Arial"/>
                <w:sz w:val="22"/>
                <w:lang w:eastAsia="en-US"/>
              </w:rPr>
              <w:t xml:space="preserve"> sowie eine kinderpsychologische Beurteilung. Per se diagnostisch für einen sexuellen Missbrauch sind sie jedoch nicht.</w:t>
            </w:r>
          </w:p>
          <w:p w14:paraId="6456C7B9" w14:textId="77777777" w:rsidR="00353BA7" w:rsidRDefault="00353BA7" w:rsidP="00353BA7">
            <w:pPr>
              <w:pStyle w:val="Listenabsatz"/>
              <w:numPr>
                <w:ilvl w:val="0"/>
                <w:numId w:val="4"/>
              </w:numPr>
              <w:spacing w:line="276" w:lineRule="auto"/>
              <w:rPr>
                <w:rFonts w:ascii="Arial" w:hAnsi="Arial" w:cs="Arial"/>
                <w:sz w:val="22"/>
                <w:szCs w:val="22"/>
              </w:rPr>
            </w:pPr>
            <w:r w:rsidRPr="00353BA7">
              <w:rPr>
                <w:rFonts w:ascii="Arial" w:hAnsi="Arial" w:cs="Arial"/>
                <w:sz w:val="22"/>
                <w:szCs w:val="22"/>
              </w:rPr>
              <w:t>Prophylaxe STD im Einzelfall klären; bei Fremdtäter: ja</w:t>
            </w:r>
          </w:p>
          <w:p w14:paraId="1D8905D2" w14:textId="1FA779EE" w:rsidR="00353BA7" w:rsidRPr="00353BA7" w:rsidRDefault="00353BA7" w:rsidP="00353BA7">
            <w:pPr>
              <w:pStyle w:val="Listenabsatz"/>
              <w:numPr>
                <w:ilvl w:val="0"/>
                <w:numId w:val="4"/>
              </w:numPr>
              <w:spacing w:line="276" w:lineRule="auto"/>
              <w:rPr>
                <w:rFonts w:ascii="Arial" w:hAnsi="Arial" w:cs="Arial"/>
                <w:sz w:val="22"/>
                <w:szCs w:val="22"/>
              </w:rPr>
            </w:pPr>
            <w:r w:rsidRPr="00353BA7">
              <w:rPr>
                <w:rFonts w:ascii="Arial" w:hAnsi="Arial" w:cs="Arial"/>
                <w:sz w:val="22"/>
                <w:szCs w:val="22"/>
              </w:rPr>
              <w:t xml:space="preserve">Notfallkontrazeption bei Adoleszenten: Ja, bei uns, </w:t>
            </w:r>
            <w:r>
              <w:rPr>
                <w:rFonts w:ascii="Arial" w:hAnsi="Arial" w:cs="Arial"/>
                <w:sz w:val="22"/>
                <w:szCs w:val="22"/>
              </w:rPr>
              <w:t xml:space="preserve">vor Gabe </w:t>
            </w:r>
            <w:r w:rsidRPr="00353BA7">
              <w:rPr>
                <w:rFonts w:ascii="Arial" w:hAnsi="Arial" w:cs="Arial"/>
                <w:sz w:val="22"/>
                <w:szCs w:val="22"/>
              </w:rPr>
              <w:t>SS Schnelltest</w:t>
            </w:r>
          </w:p>
          <w:p w14:paraId="57AABD4D" w14:textId="2CB11651" w:rsidR="00353BA7" w:rsidRPr="00353BA7" w:rsidRDefault="00353BA7" w:rsidP="00353BA7">
            <w:pPr>
              <w:pStyle w:val="Listenabsatz"/>
              <w:numPr>
                <w:ilvl w:val="0"/>
                <w:numId w:val="4"/>
              </w:numPr>
              <w:spacing w:line="276" w:lineRule="auto"/>
              <w:rPr>
                <w:rFonts w:ascii="Arial" w:hAnsi="Arial" w:cs="Arial"/>
              </w:rPr>
            </w:pPr>
            <w:r w:rsidRPr="00353BA7">
              <w:rPr>
                <w:rFonts w:ascii="Arial" w:hAnsi="Arial" w:cs="Arial"/>
                <w:sz w:val="22"/>
                <w:szCs w:val="22"/>
              </w:rPr>
              <w:t xml:space="preserve">bei V.a. sexuellen Missbrauch und Notwendigkeit psychologischer Mitbetreuung: KJPP </w:t>
            </w:r>
            <w:proofErr w:type="spellStart"/>
            <w:r w:rsidRPr="00353BA7">
              <w:rPr>
                <w:rFonts w:ascii="Arial" w:hAnsi="Arial" w:cs="Arial"/>
                <w:sz w:val="22"/>
                <w:szCs w:val="22"/>
              </w:rPr>
              <w:t>Konsil</w:t>
            </w:r>
            <w:proofErr w:type="spellEnd"/>
            <w:r w:rsidRPr="00353BA7">
              <w:rPr>
                <w:rFonts w:ascii="Arial" w:hAnsi="Arial" w:cs="Arial"/>
                <w:sz w:val="22"/>
                <w:szCs w:val="22"/>
              </w:rPr>
              <w:t>/SPZ oder BKH</w:t>
            </w:r>
          </w:p>
          <w:p w14:paraId="69653676" w14:textId="77777777" w:rsidR="00353BA7" w:rsidRDefault="00353BA7">
            <w:pPr>
              <w:rPr>
                <w:rFonts w:ascii="Arial" w:hAnsi="Arial" w:cs="Arial"/>
              </w:rPr>
            </w:pPr>
          </w:p>
        </w:tc>
      </w:tr>
      <w:tr w:rsidR="00353BA7" w14:paraId="160C2218" w14:textId="77777777" w:rsidTr="00353BA7">
        <w:tc>
          <w:tcPr>
            <w:tcW w:w="2307" w:type="dxa"/>
          </w:tcPr>
          <w:p w14:paraId="5A0512F0" w14:textId="77777777" w:rsidR="00353BA7" w:rsidRDefault="00353BA7">
            <w:pPr>
              <w:rPr>
                <w:rFonts w:ascii="Arial" w:hAnsi="Arial" w:cs="Arial"/>
              </w:rPr>
            </w:pPr>
          </w:p>
        </w:tc>
        <w:tc>
          <w:tcPr>
            <w:tcW w:w="6902" w:type="dxa"/>
          </w:tcPr>
          <w:p w14:paraId="0FB46179" w14:textId="77777777" w:rsidR="00353BA7" w:rsidRDefault="00353BA7"/>
        </w:tc>
      </w:tr>
      <w:tr w:rsidR="00353BA7" w14:paraId="1994DC69" w14:textId="77777777" w:rsidTr="00353BA7">
        <w:tc>
          <w:tcPr>
            <w:tcW w:w="2307" w:type="dxa"/>
            <w:hideMark/>
          </w:tcPr>
          <w:p w14:paraId="6A84C2F7" w14:textId="77777777" w:rsidR="00353BA7" w:rsidRDefault="00353BA7">
            <w:pPr>
              <w:rPr>
                <w:b/>
              </w:rPr>
            </w:pPr>
            <w:r>
              <w:rPr>
                <w:b/>
              </w:rPr>
              <w:t>Mitgeltende Dokumente</w:t>
            </w:r>
          </w:p>
        </w:tc>
        <w:tc>
          <w:tcPr>
            <w:tcW w:w="6902" w:type="dxa"/>
          </w:tcPr>
          <w:p w14:paraId="02386C2E" w14:textId="77777777" w:rsidR="00353BA7" w:rsidRDefault="00353BA7">
            <w:r>
              <w:t xml:space="preserve">Herrmann, B.; </w:t>
            </w:r>
            <w:proofErr w:type="spellStart"/>
            <w:r>
              <w:t>Navratil</w:t>
            </w:r>
            <w:proofErr w:type="spellEnd"/>
            <w:r>
              <w:t xml:space="preserve">, F. (2005): Medizinische Diagnostik bei sexuellem Kindesmissbrauch. In: Kinder- und Jugendarzt, 36 (2005), S. 181-189. Zugriff unter: </w:t>
            </w:r>
            <w:hyperlink r:id="rId11" w:history="1">
              <w:r>
                <w:rPr>
                  <w:rStyle w:val="Hyperlink"/>
                </w:rPr>
                <w:t>Link</w:t>
              </w:r>
            </w:hyperlink>
            <w:r>
              <w:t>, am: 18.06.2020.</w:t>
            </w:r>
          </w:p>
          <w:p w14:paraId="499ACA25" w14:textId="77777777" w:rsidR="00353BA7" w:rsidRDefault="00353BA7"/>
          <w:p w14:paraId="5249D871" w14:textId="77777777" w:rsidR="00353BA7" w:rsidRDefault="00353BA7">
            <w:r>
              <w:t>Deutsche Akademie für Kinder- und Jugendmedizin e.V. (Hrsg. 2016): Vorgehen bei Kindesmisshandlung und –</w:t>
            </w:r>
            <w:proofErr w:type="spellStart"/>
            <w:r>
              <w:t>vernachlässigung</w:t>
            </w:r>
            <w:proofErr w:type="spellEnd"/>
            <w:r>
              <w:t xml:space="preserve">. Empfehlungen für Kinderschutz an Kliniken. Zugriff unter: </w:t>
            </w:r>
            <w:hyperlink r:id="rId12" w:history="1">
              <w:r>
                <w:rPr>
                  <w:rStyle w:val="Hyperlink"/>
                </w:rPr>
                <w:t>Link</w:t>
              </w:r>
            </w:hyperlink>
            <w:r>
              <w:t>, am: 18.06.2020.</w:t>
            </w:r>
          </w:p>
          <w:p w14:paraId="76014036" w14:textId="77777777" w:rsidR="00353BA7" w:rsidRDefault="00353BA7"/>
          <w:p w14:paraId="29095DAA" w14:textId="77777777" w:rsidR="00353BA7" w:rsidRDefault="00353BA7">
            <w:r>
              <w:t xml:space="preserve">Deutsches Institut für Jugendhilfe und Familienrecht e.V. (Hrsg. 2018): Ärztliche Versorgung Minderjähriger nach sexueller Gewalt ohne Einbezug der Eltern. Expertise. Zugriff unter: </w:t>
            </w:r>
            <w:hyperlink r:id="rId13" w:history="1">
              <w:r>
                <w:rPr>
                  <w:rStyle w:val="Hyperlink"/>
                </w:rPr>
                <w:t>Link</w:t>
              </w:r>
            </w:hyperlink>
            <w:r>
              <w:t>, am: 18.06.2020.</w:t>
            </w:r>
          </w:p>
          <w:p w14:paraId="675B1AF2" w14:textId="77777777" w:rsidR="00353BA7" w:rsidRDefault="00353BA7"/>
          <w:p w14:paraId="2D25AE1A" w14:textId="77777777" w:rsidR="00353BA7" w:rsidRDefault="00353BA7">
            <w:r>
              <w:t xml:space="preserve">AWMF (Hrsg.): Kinderschutz Leitlinie AWMF S3 (+) Leitlinie. Kindesmisshandlung, -missbrauch, -vernachlässigung unter Einbindung der Jugendhilfe und Pädagogik. Zugriff unter: </w:t>
            </w:r>
            <w:hyperlink r:id="rId14" w:history="1">
              <w:r>
                <w:rPr>
                  <w:rStyle w:val="Hyperlink"/>
                </w:rPr>
                <w:t>Link</w:t>
              </w:r>
            </w:hyperlink>
            <w:r>
              <w:t>, am: 18.06.2020.</w:t>
            </w:r>
          </w:p>
        </w:tc>
      </w:tr>
    </w:tbl>
    <w:p w14:paraId="7ED86E20" w14:textId="77777777" w:rsidR="00353BA7" w:rsidRDefault="00353BA7" w:rsidP="00353BA7">
      <w:pPr>
        <w:rPr>
          <w:rFonts w:ascii="Arial" w:hAnsi="Arial" w:cs="Arial"/>
        </w:rPr>
      </w:pPr>
    </w:p>
    <w:p w14:paraId="46C3FC20" w14:textId="5A3AF58E" w:rsidR="00D10FD4" w:rsidRDefault="00D10FD4" w:rsidP="00D10FD4"/>
    <w:p w14:paraId="67AC2699" w14:textId="51590972" w:rsidR="00D10FD4" w:rsidRDefault="00D10FD4" w:rsidP="00D10FD4"/>
    <w:p w14:paraId="5251A6A7" w14:textId="77777777" w:rsidR="00D10FD4" w:rsidRDefault="00D10FD4" w:rsidP="00D10FD4"/>
    <w:p w14:paraId="2173442A" w14:textId="77777777" w:rsidR="00D10FD4" w:rsidRPr="00D10FD4" w:rsidRDefault="00D10FD4" w:rsidP="00D10FD4"/>
    <w:sectPr w:rsidR="00D10FD4" w:rsidRPr="00D10FD4">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7BC2A" w14:textId="77777777" w:rsidR="006542E8" w:rsidRDefault="006542E8" w:rsidP="00D10FD4">
      <w:pPr>
        <w:spacing w:after="0" w:line="240" w:lineRule="auto"/>
      </w:pPr>
      <w:r>
        <w:separator/>
      </w:r>
    </w:p>
  </w:endnote>
  <w:endnote w:type="continuationSeparator" w:id="0">
    <w:p w14:paraId="455AC60C" w14:textId="77777777" w:rsidR="006542E8" w:rsidRDefault="006542E8" w:rsidP="00D10FD4">
      <w:pPr>
        <w:spacing w:after="0" w:line="240" w:lineRule="auto"/>
      </w:pPr>
      <w:r>
        <w:continuationSeparator/>
      </w:r>
    </w:p>
  </w:endnote>
  <w:endnote w:type="continuationNotice" w:id="1">
    <w:p w14:paraId="4EB4D7BE" w14:textId="77777777" w:rsidR="006542E8" w:rsidRDefault="00654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B8E1C" w14:textId="77777777" w:rsidR="006542E8" w:rsidRDefault="006542E8" w:rsidP="00D10FD4">
      <w:pPr>
        <w:spacing w:after="0" w:line="240" w:lineRule="auto"/>
      </w:pPr>
      <w:r>
        <w:separator/>
      </w:r>
    </w:p>
  </w:footnote>
  <w:footnote w:type="continuationSeparator" w:id="0">
    <w:p w14:paraId="57E22E78" w14:textId="77777777" w:rsidR="006542E8" w:rsidRDefault="006542E8" w:rsidP="00D10FD4">
      <w:pPr>
        <w:spacing w:after="0" w:line="240" w:lineRule="auto"/>
      </w:pPr>
      <w:r>
        <w:continuationSeparator/>
      </w:r>
    </w:p>
  </w:footnote>
  <w:footnote w:type="continuationNotice" w:id="1">
    <w:p w14:paraId="57725362" w14:textId="77777777" w:rsidR="006542E8" w:rsidRDefault="006542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66473F9B" w:rsidR="00E77BC2" w:rsidRDefault="00266C19">
    <w:pPr>
      <w:pStyle w:val="Kopfzeile"/>
    </w:pPr>
    <w:r>
      <w:rPr>
        <w:noProof/>
        <w:lang w:eastAsia="ja-JP"/>
      </w:rPr>
      <w:drawing>
        <wp:anchor distT="0" distB="0" distL="114300" distR="114300" simplePos="0" relativeHeight="251659265" behindDoc="0" locked="0" layoutInCell="1" allowOverlap="1" wp14:anchorId="55F3672A" wp14:editId="4C25EECE">
          <wp:simplePos x="0" y="0"/>
          <wp:positionH relativeFrom="column">
            <wp:posOffset>-94615</wp:posOffset>
          </wp:positionH>
          <wp:positionV relativeFrom="paragraph">
            <wp:posOffset>-304690</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6B578256">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4E8"/>
    <w:multiLevelType w:val="hybridMultilevel"/>
    <w:tmpl w:val="9858F54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093B4E7A"/>
    <w:multiLevelType w:val="hybridMultilevel"/>
    <w:tmpl w:val="126062C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90C3B0D"/>
    <w:multiLevelType w:val="hybridMultilevel"/>
    <w:tmpl w:val="C3E0DAB2"/>
    <w:lvl w:ilvl="0" w:tplc="04070001">
      <w:start w:val="1"/>
      <w:numFmt w:val="bullet"/>
      <w:lvlText w:val=""/>
      <w:lvlJc w:val="left"/>
      <w:pPr>
        <w:ind w:left="360" w:hanging="360"/>
      </w:pPr>
      <w:rPr>
        <w:rFonts w:ascii="Symbol" w:hAnsi="Symbol" w:hint="default"/>
      </w:rPr>
    </w:lvl>
    <w:lvl w:ilvl="1" w:tplc="8848AEA0">
      <w:numFmt w:val="bullet"/>
      <w:lvlText w:val="-"/>
      <w:lvlJc w:val="left"/>
      <w:pPr>
        <w:ind w:left="1080" w:hanging="360"/>
      </w:pPr>
      <w:rPr>
        <w:rFonts w:ascii="Arial" w:eastAsiaTheme="minorHAnsi"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410F27BE"/>
    <w:multiLevelType w:val="hybridMultilevel"/>
    <w:tmpl w:val="D87EE9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6516437E"/>
    <w:multiLevelType w:val="hybridMultilevel"/>
    <w:tmpl w:val="CCC2CD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6BCC3349"/>
    <w:multiLevelType w:val="hybridMultilevel"/>
    <w:tmpl w:val="DA101BA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2151A0"/>
    <w:rsid w:val="00266C19"/>
    <w:rsid w:val="00353BA7"/>
    <w:rsid w:val="0054097E"/>
    <w:rsid w:val="0062729F"/>
    <w:rsid w:val="006542E8"/>
    <w:rsid w:val="007047FE"/>
    <w:rsid w:val="008E3B2D"/>
    <w:rsid w:val="00CD2B8E"/>
    <w:rsid w:val="00D10FD4"/>
    <w:rsid w:val="00DF234A"/>
    <w:rsid w:val="00E77B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character" w:styleId="Hyperlink">
    <w:name w:val="Hyperlink"/>
    <w:basedOn w:val="Absatz-Standardschriftart"/>
    <w:uiPriority w:val="99"/>
    <w:semiHidden/>
    <w:unhideWhenUsed/>
    <w:rsid w:val="00353BA7"/>
    <w:rPr>
      <w:color w:val="0563C1" w:themeColor="hyperlink"/>
      <w:u w:val="single"/>
    </w:rPr>
  </w:style>
  <w:style w:type="paragraph" w:styleId="Listenabsatz">
    <w:name w:val="List Paragraph"/>
    <w:basedOn w:val="Standard"/>
    <w:uiPriority w:val="34"/>
    <w:qFormat/>
    <w:rsid w:val="00353BA7"/>
    <w:pPr>
      <w:spacing w:after="0" w:line="240" w:lineRule="auto"/>
      <w:ind w:left="720"/>
      <w:contextualSpacing/>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353B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kim.de/dokumente/expertise_aerztliche_versorgung_minderjaehriger_nach_sexueller_gewalt_5_201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desmisshandlung.de/mediapool/32/328527/data/DGKiM-DAKJ_KSG-Leitfaden_1.61-23.12.20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indesmisshandlung.de/mediapool/32/328527/data/SKM-KJA-200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wmf.org/uploads/tx_szleitlinien/KF_027-069k_Kinderschutz_2018-1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2.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4.xml><?xml version="1.0" encoding="utf-8"?>
<ds:datastoreItem xmlns:ds="http://schemas.openxmlformats.org/officeDocument/2006/customXml" ds:itemID="{51EAF0AE-D1F7-4FF3-8CAA-2CF75ED9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6318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2024-07-22T10:41:00Z</dcterms:created>
  <dcterms:modified xsi:type="dcterms:W3CDTF">2024-07-22T10:41:00Z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