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0BD2C" w14:textId="25B3D060" w:rsidR="00513471" w:rsidRDefault="00513471" w:rsidP="00513471">
      <w:pPr>
        <w:pStyle w:val="Formulartitel"/>
      </w:pPr>
      <w:r>
        <w:t>Kooperationsvereinbarung zwischen dem Jugendamt</w:t>
      </w:r>
    </w:p>
    <w:p w14:paraId="49C62FE1" w14:textId="77777777" w:rsidR="00513471" w:rsidRDefault="00513471" w:rsidP="00513471">
      <w:pPr>
        <w:pStyle w:val="Formulartitel"/>
      </w:pPr>
      <w:r>
        <w:t>und der Kinderklinik</w:t>
      </w:r>
    </w:p>
    <w:p w14:paraId="31E49ED2" w14:textId="77777777" w:rsidR="00513471" w:rsidRDefault="00513471" w:rsidP="00513471">
      <w:pPr>
        <w:spacing w:after="0"/>
        <w:rPr>
          <w:bCs/>
          <w:color w:val="2F5496" w:themeColor="accent5" w:themeShade="BF"/>
          <w:sz w:val="19"/>
          <w:szCs w:val="19"/>
        </w:rPr>
      </w:pPr>
      <w:r>
        <w:rPr>
          <w:bCs/>
          <w:color w:val="2F5496" w:themeColor="accent5" w:themeShade="BF"/>
          <w:sz w:val="19"/>
          <w:szCs w:val="19"/>
        </w:rPr>
        <w:t>Sofern bei Berufsbezeichnungen männliche Bezeichnungen gewählt sind, sind immer beide Geschlechter gemeint!</w:t>
      </w:r>
    </w:p>
    <w:p w14:paraId="2AADA2B3" w14:textId="77777777" w:rsidR="00513471" w:rsidRDefault="00513471" w:rsidP="00513471">
      <w:pPr>
        <w:rPr>
          <w:bCs/>
          <w:color w:val="2F5496" w:themeColor="accent5" w:themeShade="BF"/>
          <w:sz w:val="19"/>
          <w:szCs w:val="19"/>
        </w:rPr>
      </w:pPr>
    </w:p>
    <w:p w14:paraId="624780A5" w14:textId="77777777" w:rsidR="00513471" w:rsidRDefault="00513471" w:rsidP="00513471">
      <w:pPr>
        <w:tabs>
          <w:tab w:val="left" w:pos="284"/>
        </w:tabs>
        <w:spacing w:after="120" w:line="300" w:lineRule="exact"/>
        <w:ind w:right="-851"/>
        <w:rPr>
          <w:b/>
          <w:bCs/>
          <w:color w:val="2E959A"/>
          <w:sz w:val="28"/>
          <w:szCs w:val="28"/>
        </w:rPr>
      </w:pPr>
      <w:bookmarkStart w:id="0" w:name="_GoBack"/>
      <w:r>
        <w:rPr>
          <w:b/>
          <w:bCs/>
          <w:color w:val="2E959A"/>
          <w:sz w:val="28"/>
          <w:szCs w:val="28"/>
        </w:rPr>
        <w:t>Präambel</w:t>
      </w:r>
    </w:p>
    <w:bookmarkEnd w:id="0"/>
    <w:p w14:paraId="6C1F2F0D" w14:textId="77777777" w:rsidR="00513471" w:rsidRDefault="00513471" w:rsidP="00513471">
      <w:pPr>
        <w:tabs>
          <w:tab w:val="left" w:pos="284"/>
        </w:tabs>
        <w:spacing w:line="300" w:lineRule="exact"/>
        <w:jc w:val="both"/>
        <w:rPr>
          <w:sz w:val="24"/>
          <w:szCs w:val="24"/>
        </w:rPr>
      </w:pPr>
      <w:r>
        <w:rPr>
          <w:sz w:val="24"/>
          <w:szCs w:val="24"/>
        </w:rPr>
        <w:t>Die unterzeichnenden Institutionen und Personen kooperieren mit dem Ziel, eine Verbesserung des Schutzes von Kindern bei Kindeswohlgefährdungen durch schnelles und abgestimmtes Handeln, professionelle Diagnostik und Behandlung sowie gemeinsam festgelegte Weiterbetreuung zu erreichen. Zielgruppe sind Kinder und Jugendliche bis zum vollendeten 18. Lebensjahr sowie deren Familien.</w:t>
      </w:r>
    </w:p>
    <w:p w14:paraId="035D0242" w14:textId="77777777" w:rsidR="00513471" w:rsidRDefault="00513471" w:rsidP="00513471">
      <w:pPr>
        <w:tabs>
          <w:tab w:val="left" w:pos="284"/>
        </w:tabs>
        <w:spacing w:line="300" w:lineRule="exact"/>
        <w:jc w:val="both"/>
        <w:rPr>
          <w:sz w:val="24"/>
          <w:szCs w:val="24"/>
        </w:rPr>
      </w:pPr>
      <w:r>
        <w:rPr>
          <w:b/>
          <w:sz w:val="24"/>
          <w:szCs w:val="24"/>
        </w:rPr>
        <w:t>Die Kooperationspartner stimmen überein, dass Verdachtsfälle einer Kindeswohlgefährdung, bei denen eine medizinische Abklärung erforderlich ist, grundsätzlich in der Kinderklinik vorgestellt werden.</w:t>
      </w:r>
      <w:r>
        <w:rPr>
          <w:sz w:val="24"/>
          <w:szCs w:val="24"/>
        </w:rPr>
        <w:t xml:space="preserve"> Ob ein solcher Verdachtsfall vorliegt entscheidet der behandelnde Kinder- und Jugendarzt, der Allgemeine Soziale Dienst des Jugendamtes oder ein mit Kinderschutzaufgaben befasster Arzt der Klinik nach persönlicher Inaugenscheinnahme des Kindes gemeinsam mit der zuständigen Vertretung des Jugendamtes. Die Entscheidung, ob die medizinische und psychosoziale Abklärung ambulant, teilstationär oder stationär erfolgt, wird von dem mit Kinderschutzaufgaben betrauten Arzt der Klinik in Rücksprache mit dem zuständigen Mitarbeiter des Jugendamtes getroffen.</w:t>
      </w:r>
    </w:p>
    <w:p w14:paraId="222C4D42" w14:textId="77777777" w:rsidR="00513471" w:rsidRDefault="00513471" w:rsidP="00513471">
      <w:pPr>
        <w:tabs>
          <w:tab w:val="left" w:pos="284"/>
        </w:tabs>
        <w:spacing w:line="300" w:lineRule="exact"/>
        <w:jc w:val="both"/>
        <w:rPr>
          <w:sz w:val="24"/>
          <w:szCs w:val="24"/>
        </w:rPr>
      </w:pPr>
      <w:r>
        <w:rPr>
          <w:b/>
          <w:sz w:val="24"/>
          <w:szCs w:val="24"/>
        </w:rPr>
        <w:t>Die Kooperationspartner stimmen überein, dass Kinder, bei denen gewichtige Anhaltspunkte für eine Kindeswohlgefährdung vorliegen, zum Zweck der Wahrnehmung des Schutzauftrages (§ 8a, Abs. 1, SGB VIII) von der Kinderklinik an das zuständige Jugendamt gemeldet werden.</w:t>
      </w:r>
    </w:p>
    <w:p w14:paraId="189CA80F" w14:textId="77777777" w:rsidR="00513471" w:rsidRDefault="00513471" w:rsidP="00513471">
      <w:pPr>
        <w:tabs>
          <w:tab w:val="left" w:pos="284"/>
        </w:tabs>
        <w:spacing w:line="300" w:lineRule="exact"/>
        <w:jc w:val="both"/>
        <w:rPr>
          <w:sz w:val="24"/>
          <w:szCs w:val="24"/>
        </w:rPr>
      </w:pPr>
      <w:r>
        <w:rPr>
          <w:sz w:val="24"/>
          <w:szCs w:val="24"/>
        </w:rPr>
        <w:t>Die Kooperationsvereinbarung hat keinen rechtsverbindlichen Charakter. Sie versteht sich als Vereinbarung zur Zusammenarbeit im Sinne einer Selbstverpflichtung.</w:t>
      </w:r>
    </w:p>
    <w:p w14:paraId="4CE7FB13" w14:textId="77777777" w:rsidR="00513471" w:rsidRDefault="00513471" w:rsidP="00513471">
      <w:pPr>
        <w:tabs>
          <w:tab w:val="left" w:pos="284"/>
        </w:tabs>
        <w:spacing w:line="300" w:lineRule="exact"/>
        <w:jc w:val="both"/>
      </w:pPr>
    </w:p>
    <w:p w14:paraId="7A97E782" w14:textId="77777777" w:rsidR="00513471" w:rsidRDefault="00513471" w:rsidP="00513471">
      <w:pPr>
        <w:tabs>
          <w:tab w:val="left" w:pos="284"/>
        </w:tabs>
        <w:spacing w:after="120" w:line="300" w:lineRule="exact"/>
        <w:rPr>
          <w:b/>
          <w:bCs/>
          <w:color w:val="2E959A"/>
          <w:sz w:val="28"/>
          <w:szCs w:val="28"/>
        </w:rPr>
      </w:pPr>
      <w:r>
        <w:rPr>
          <w:b/>
          <w:bCs/>
          <w:color w:val="2E959A"/>
          <w:sz w:val="28"/>
          <w:szCs w:val="28"/>
        </w:rPr>
        <w:t>Datenschutz</w:t>
      </w:r>
    </w:p>
    <w:p w14:paraId="30995DBD" w14:textId="77777777" w:rsidR="00513471" w:rsidRPr="00513471" w:rsidRDefault="00513471" w:rsidP="00CE046B">
      <w:pPr>
        <w:tabs>
          <w:tab w:val="left" w:pos="284"/>
        </w:tabs>
        <w:spacing w:line="300" w:lineRule="exact"/>
        <w:jc w:val="both"/>
        <w:rPr>
          <w:sz w:val="24"/>
          <w:szCs w:val="24"/>
        </w:rPr>
      </w:pPr>
      <w:r w:rsidRPr="00513471">
        <w:rPr>
          <w:sz w:val="24"/>
          <w:szCs w:val="24"/>
        </w:rPr>
        <w:t xml:space="preserve">Die in den Verfahrensweisen vorgesehenen Übermittlungen personenbezogener Daten zwischen den Kooperationspartnern sind datenschutzrechtlich nur zulässig, wenn </w:t>
      </w:r>
    </w:p>
    <w:p w14:paraId="06ADEAB7" w14:textId="4742E30B" w:rsidR="00513471" w:rsidRPr="00CE046B" w:rsidRDefault="00CE046B" w:rsidP="00CE046B">
      <w:pPr>
        <w:tabs>
          <w:tab w:val="left" w:pos="284"/>
        </w:tabs>
        <w:spacing w:line="300" w:lineRule="exact"/>
        <w:jc w:val="both"/>
        <w:rPr>
          <w:sz w:val="24"/>
          <w:szCs w:val="24"/>
        </w:rPr>
      </w:pPr>
      <w:r w:rsidRPr="00CE046B">
        <w:t>1.</w:t>
      </w:r>
      <w:r w:rsidRPr="00CE046B">
        <w:tab/>
      </w:r>
      <w:r w:rsidR="00513471" w:rsidRPr="00CE046B">
        <w:rPr>
          <w:sz w:val="24"/>
          <w:szCs w:val="24"/>
        </w:rPr>
        <w:t>eine Einwilligung der/des Sorgeberechtigten bzw. des einwilligungsfähigen Jugendlichen vorliegt oder</w:t>
      </w:r>
    </w:p>
    <w:p w14:paraId="591213CB" w14:textId="77777777" w:rsidR="00513471" w:rsidRPr="00513471" w:rsidRDefault="00513471" w:rsidP="00CE046B">
      <w:pPr>
        <w:tabs>
          <w:tab w:val="left" w:pos="284"/>
        </w:tabs>
        <w:spacing w:line="300" w:lineRule="exact"/>
        <w:jc w:val="both"/>
        <w:rPr>
          <w:sz w:val="24"/>
          <w:szCs w:val="24"/>
        </w:rPr>
      </w:pPr>
      <w:r w:rsidRPr="00513471">
        <w:rPr>
          <w:sz w:val="24"/>
          <w:szCs w:val="24"/>
        </w:rPr>
        <w:t>2.</w:t>
      </w:r>
      <w:r w:rsidRPr="00513471">
        <w:rPr>
          <w:sz w:val="24"/>
          <w:szCs w:val="24"/>
        </w:rPr>
        <w:tab/>
        <w:t>eine Kindeswohlgefährdung fest steht oder gewichtige Anhaltspunkte für eine Kindeswohlgefährdung vorliegen und die Gefahr nicht anders als durch die beabsichtigte Informationsweitergabe abwendbar ist. Voraussetzung hierfür ist eine gegenwärtige bzw. andauernde und konkrete gesundheitliche Gefährdung des Kindes (körperlich, seelisch, emotional bzw. für die weitere Entwicklung). Es müssen die Voraussetzungen des § 34 StGB oder des § 4 KKG vorliegen oder des Art. 14 GDVG.</w:t>
      </w:r>
    </w:p>
    <w:p w14:paraId="258E3E1F" w14:textId="77777777" w:rsidR="00513471" w:rsidRPr="00513471" w:rsidRDefault="00513471" w:rsidP="00513471">
      <w:pPr>
        <w:tabs>
          <w:tab w:val="left" w:pos="284"/>
        </w:tabs>
        <w:spacing w:line="300" w:lineRule="exact"/>
        <w:jc w:val="both"/>
        <w:rPr>
          <w:sz w:val="24"/>
          <w:szCs w:val="24"/>
        </w:rPr>
      </w:pPr>
      <w:r w:rsidRPr="00513471">
        <w:rPr>
          <w:sz w:val="24"/>
          <w:szCs w:val="24"/>
        </w:rPr>
        <w:t xml:space="preserve">Ebenso sind §§ 8a, 62 und 65 SGB VIII sowie der besondere Fall des § 42 SGB VIII (Inobhutnahme) zu berücksichtigen. </w:t>
      </w:r>
    </w:p>
    <w:p w14:paraId="5CF1E9E6" w14:textId="77777777" w:rsidR="00513471" w:rsidRPr="00513471" w:rsidRDefault="00513471" w:rsidP="00513471">
      <w:pPr>
        <w:tabs>
          <w:tab w:val="left" w:pos="284"/>
        </w:tabs>
        <w:spacing w:after="0" w:line="300" w:lineRule="exact"/>
        <w:ind w:hanging="284"/>
        <w:rPr>
          <w:sz w:val="24"/>
          <w:szCs w:val="24"/>
        </w:rPr>
      </w:pPr>
    </w:p>
    <w:p w14:paraId="702C99F9" w14:textId="77777777" w:rsidR="00513471" w:rsidRDefault="00513471" w:rsidP="00513471">
      <w:pPr>
        <w:tabs>
          <w:tab w:val="left" w:pos="284"/>
        </w:tabs>
        <w:spacing w:after="0" w:line="300" w:lineRule="exact"/>
        <w:rPr>
          <w:bCs/>
          <w:iCs/>
          <w:color w:val="000000" w:themeColor="text1"/>
          <w:sz w:val="24"/>
          <w:szCs w:val="24"/>
        </w:rPr>
      </w:pPr>
    </w:p>
    <w:p w14:paraId="0DD7C6FC" w14:textId="64A16BD6" w:rsidR="00513471" w:rsidRPr="00513471" w:rsidRDefault="00513471" w:rsidP="00513471">
      <w:pPr>
        <w:tabs>
          <w:tab w:val="left" w:pos="284"/>
        </w:tabs>
        <w:spacing w:line="300" w:lineRule="exact"/>
        <w:jc w:val="both"/>
        <w:rPr>
          <w:sz w:val="24"/>
          <w:szCs w:val="24"/>
        </w:rPr>
      </w:pPr>
      <w:r w:rsidRPr="00513471">
        <w:rPr>
          <w:sz w:val="24"/>
          <w:szCs w:val="24"/>
        </w:rPr>
        <w:t>Bei der Weitergabe medizinischer Daten an Dritte wie z.B. an Pflegefamilien oder das Familiengericht sind die Datenschutzvorgaben einzuhalten! Arztbriefe dürfen nur mit Zustimmung des Verfassers weitergegeben werden. Der Datenschutz ist insbesondere bei der Weitergabe von „Familiendaten“ zu berücksichtigen.</w:t>
      </w:r>
    </w:p>
    <w:p w14:paraId="29F9797B" w14:textId="77777777" w:rsidR="00513471" w:rsidRDefault="00513471" w:rsidP="00513471">
      <w:pPr>
        <w:tabs>
          <w:tab w:val="left" w:pos="284"/>
        </w:tabs>
        <w:spacing w:line="300" w:lineRule="exact"/>
        <w:jc w:val="both"/>
        <w:rPr>
          <w:b/>
          <w:bCs/>
        </w:rPr>
      </w:pPr>
    </w:p>
    <w:p w14:paraId="62B6258B" w14:textId="77777777" w:rsidR="00513471" w:rsidRDefault="00513471" w:rsidP="00513471">
      <w:pPr>
        <w:tabs>
          <w:tab w:val="left" w:pos="284"/>
        </w:tabs>
        <w:spacing w:after="120" w:line="300" w:lineRule="exact"/>
        <w:ind w:right="-851"/>
        <w:rPr>
          <w:b/>
          <w:bCs/>
          <w:color w:val="2E959A"/>
          <w:sz w:val="28"/>
          <w:szCs w:val="28"/>
        </w:rPr>
      </w:pPr>
      <w:r>
        <w:rPr>
          <w:b/>
          <w:bCs/>
          <w:color w:val="2E959A"/>
          <w:sz w:val="28"/>
          <w:szCs w:val="28"/>
        </w:rPr>
        <w:t>§ 1 Fallbezogene Kooperation: Aufgaben des Kinderkrankenhauses</w:t>
      </w:r>
    </w:p>
    <w:p w14:paraId="00CB38BD" w14:textId="77777777" w:rsidR="00513471" w:rsidRDefault="00513471" w:rsidP="00513471">
      <w:pPr>
        <w:tabs>
          <w:tab w:val="left" w:pos="284"/>
        </w:tabs>
        <w:spacing w:line="300" w:lineRule="exact"/>
        <w:ind w:left="284" w:hanging="284"/>
        <w:jc w:val="both"/>
        <w:rPr>
          <w:sz w:val="24"/>
          <w:szCs w:val="24"/>
        </w:rPr>
      </w:pPr>
      <w:r>
        <w:rPr>
          <w:b/>
        </w:rPr>
        <w:t>1.</w:t>
      </w:r>
      <w:r>
        <w:rPr>
          <w:b/>
        </w:rPr>
        <w:tab/>
      </w:r>
      <w:r>
        <w:rPr>
          <w:sz w:val="24"/>
          <w:szCs w:val="24"/>
        </w:rPr>
        <w:t xml:space="preserve">Die Kinderklinik, in der Regel vertreten durch die Mitglieder der interdisziplinären Kinderschutzgruppe, führt bei Verdachtsfällen oder bestätigten Fällen der verschiedenen Formen der Kindeswohlgefährdung eine diagnostische Abklärung und Behandlung nach gültigem medizinischem Standard durch. Dies erfolgt entweder in der medizinischen Kinderschutzambulanz, im SPZ oder einem anderen ambulanten Bereich (ambulantes Setting) oder durch stationäre Aufnahme mit erweiterter Diagnostik. Grundlage dafür sind die jeweils geltenden Empfehlungen der damit befassten medizinischen Fachgruppen und Fachgesellschaften in Deutschland, der AWMF S3+ Kinderschutzleitlinie und der Leitfaden „Empfehlungen für Kinderschutz an Kliniken der </w:t>
      </w:r>
      <w:proofErr w:type="spellStart"/>
      <w:r>
        <w:rPr>
          <w:sz w:val="24"/>
          <w:szCs w:val="24"/>
        </w:rPr>
        <w:t>DGKiM</w:t>
      </w:r>
      <w:proofErr w:type="spellEnd"/>
      <w:r>
        <w:rPr>
          <w:sz w:val="24"/>
          <w:szCs w:val="24"/>
        </w:rPr>
        <w:t xml:space="preserve">“, bzw. entsprechend dem innerklinische Leitfaden und Verfahrensstandard der Klinik. </w:t>
      </w:r>
    </w:p>
    <w:p w14:paraId="0F4C6C13" w14:textId="77777777" w:rsidR="00513471" w:rsidRDefault="00513471" w:rsidP="00513471">
      <w:pPr>
        <w:tabs>
          <w:tab w:val="left" w:pos="284"/>
        </w:tabs>
        <w:spacing w:line="300" w:lineRule="exact"/>
        <w:ind w:left="284" w:hanging="284"/>
        <w:jc w:val="both"/>
        <w:rPr>
          <w:sz w:val="24"/>
          <w:szCs w:val="24"/>
        </w:rPr>
      </w:pPr>
      <w:r>
        <w:rPr>
          <w:b/>
          <w:sz w:val="24"/>
          <w:szCs w:val="24"/>
        </w:rPr>
        <w:t>2.</w:t>
      </w:r>
      <w:r>
        <w:rPr>
          <w:sz w:val="24"/>
          <w:szCs w:val="24"/>
        </w:rPr>
        <w:tab/>
        <w:t>Die Kinderklink stellt sicher, dass die medizinischen Standards für das hausinterne diagnostische und therapeutische Vorgehen in digitaler oder Papierform hinterlegt sind und allen Mitarbeitern bekannt und zu jeder Zeit einsehbar sind.</w:t>
      </w:r>
    </w:p>
    <w:p w14:paraId="01DADE56" w14:textId="77777777" w:rsidR="00513471" w:rsidRDefault="00513471" w:rsidP="00513471">
      <w:pPr>
        <w:tabs>
          <w:tab w:val="left" w:pos="284"/>
        </w:tabs>
        <w:spacing w:after="240" w:line="300" w:lineRule="exact"/>
        <w:ind w:left="284" w:hanging="284"/>
        <w:jc w:val="both"/>
        <w:rPr>
          <w:sz w:val="24"/>
          <w:szCs w:val="24"/>
        </w:rPr>
      </w:pPr>
      <w:r>
        <w:rPr>
          <w:b/>
          <w:sz w:val="24"/>
          <w:szCs w:val="24"/>
        </w:rPr>
        <w:t>3.</w:t>
      </w:r>
      <w:r>
        <w:rPr>
          <w:sz w:val="24"/>
          <w:szCs w:val="24"/>
        </w:rPr>
        <w:tab/>
        <w:t>Die Sicherung der Qualität der medizinischen Kinderschutzarbeit in der Kinderklinik liegt in der Verantwortung der ärztlichen Mitglieder der Kinderschutzgruppe.</w:t>
      </w:r>
    </w:p>
    <w:p w14:paraId="44904885" w14:textId="77777777" w:rsidR="00513471" w:rsidRDefault="00513471" w:rsidP="00513471">
      <w:pPr>
        <w:tabs>
          <w:tab w:val="left" w:pos="284"/>
        </w:tabs>
        <w:spacing w:after="120" w:line="300" w:lineRule="exact"/>
        <w:ind w:left="284" w:hanging="284"/>
        <w:jc w:val="both"/>
        <w:rPr>
          <w:sz w:val="24"/>
          <w:szCs w:val="24"/>
        </w:rPr>
      </w:pPr>
      <w:r>
        <w:rPr>
          <w:b/>
          <w:sz w:val="24"/>
          <w:szCs w:val="24"/>
        </w:rPr>
        <w:t>4.</w:t>
      </w:r>
      <w:r>
        <w:rPr>
          <w:sz w:val="24"/>
          <w:szCs w:val="24"/>
        </w:rPr>
        <w:tab/>
        <w:t xml:space="preserve">Die Klinik meldet unter Beachtung der o.g. Datenschutzbestimmungen dem zuständigen Jugendamt ambulant und stationär betreute Kinder, </w:t>
      </w:r>
    </w:p>
    <w:p w14:paraId="6E3AEC26" w14:textId="77777777" w:rsidR="00513471" w:rsidRDefault="00513471" w:rsidP="00513471">
      <w:pPr>
        <w:tabs>
          <w:tab w:val="left" w:pos="284"/>
        </w:tabs>
        <w:spacing w:after="0" w:line="300" w:lineRule="exact"/>
        <w:ind w:left="284" w:hanging="284"/>
        <w:jc w:val="both"/>
        <w:rPr>
          <w:sz w:val="24"/>
          <w:szCs w:val="24"/>
        </w:rPr>
      </w:pPr>
      <w:r>
        <w:rPr>
          <w:sz w:val="24"/>
          <w:szCs w:val="24"/>
        </w:rPr>
        <w:t>-</w:t>
      </w:r>
      <w:r>
        <w:rPr>
          <w:sz w:val="24"/>
          <w:szCs w:val="24"/>
        </w:rPr>
        <w:tab/>
        <w:t xml:space="preserve">bei denen eine der Formen von Kindeswohlgefährdung mit hoher Wahrscheinlichkeit vorliegt oder </w:t>
      </w:r>
      <w:r>
        <w:rPr>
          <w:sz w:val="24"/>
          <w:szCs w:val="24"/>
        </w:rPr>
        <w:br/>
        <w:t>bereits nachgewiesen wurde</w:t>
      </w:r>
    </w:p>
    <w:p w14:paraId="65824E16" w14:textId="77777777" w:rsidR="00513471" w:rsidRDefault="00513471" w:rsidP="00513471">
      <w:pPr>
        <w:tabs>
          <w:tab w:val="left" w:pos="284"/>
        </w:tabs>
        <w:spacing w:after="0" w:line="300" w:lineRule="exact"/>
        <w:ind w:left="284" w:hanging="284"/>
        <w:jc w:val="both"/>
        <w:rPr>
          <w:sz w:val="24"/>
          <w:szCs w:val="24"/>
        </w:rPr>
      </w:pPr>
      <w:r>
        <w:rPr>
          <w:sz w:val="24"/>
          <w:szCs w:val="24"/>
        </w:rPr>
        <w:t>-</w:t>
      </w:r>
      <w:r>
        <w:rPr>
          <w:sz w:val="24"/>
          <w:szCs w:val="24"/>
        </w:rPr>
        <w:tab/>
        <w:t xml:space="preserve">deren Gesundheitszustand durch fehlende Ressourcen der Eltern gefährdet oder eingeschränkt ist </w:t>
      </w:r>
    </w:p>
    <w:p w14:paraId="52FA8B91" w14:textId="77777777" w:rsidR="00513471" w:rsidRDefault="00513471" w:rsidP="00513471">
      <w:pPr>
        <w:tabs>
          <w:tab w:val="left" w:pos="284"/>
        </w:tabs>
        <w:spacing w:after="0" w:line="300" w:lineRule="exact"/>
        <w:ind w:left="284" w:hanging="284"/>
        <w:jc w:val="both"/>
        <w:rPr>
          <w:sz w:val="24"/>
          <w:szCs w:val="24"/>
        </w:rPr>
      </w:pPr>
      <w:r>
        <w:rPr>
          <w:sz w:val="24"/>
          <w:szCs w:val="24"/>
        </w:rPr>
        <w:t>-</w:t>
      </w:r>
      <w:r>
        <w:rPr>
          <w:sz w:val="24"/>
          <w:szCs w:val="24"/>
        </w:rPr>
        <w:tab/>
        <w:t>deren Sorgeberechtigte die Notwendigkeit medizinischer und sozialpädiatrischer Hilfemaßnahmen nicht einsehen bzw. diese bewusst nicht befolgen, so dass aufgrund dessen eine erhebliche bis hin zur Lebensbedrohung führende Verschlechterung des Gesundheitszustandes des Kindes befürchtet werden muss.</w:t>
      </w:r>
    </w:p>
    <w:p w14:paraId="70C910E4" w14:textId="77777777" w:rsidR="00513471" w:rsidRDefault="00513471" w:rsidP="00513471">
      <w:pPr>
        <w:tabs>
          <w:tab w:val="left" w:pos="284"/>
        </w:tabs>
        <w:spacing w:after="240" w:line="300" w:lineRule="exact"/>
        <w:ind w:left="284" w:hanging="284"/>
        <w:jc w:val="both"/>
        <w:rPr>
          <w:sz w:val="24"/>
          <w:szCs w:val="24"/>
        </w:rPr>
      </w:pPr>
      <w:r>
        <w:rPr>
          <w:sz w:val="24"/>
          <w:szCs w:val="24"/>
        </w:rPr>
        <w:t>-</w:t>
      </w:r>
      <w:r>
        <w:rPr>
          <w:sz w:val="24"/>
          <w:szCs w:val="24"/>
        </w:rPr>
        <w:tab/>
        <w:t>bei denen aus sonstigen Gründen eine Kindeswohlgefährdung droht oder bereits eingetreten ist. Dies umfasst insbesondere Neugeborene von süchtigen (drogen- oder alkoholabhängigen und drogen- substituierten) oder psychisch erkrankten Eltern(-teil). In diesen Fällen ist aufgrund des hohen Gefährdungsrisikos ein engmaschiges Hilfe- und Unterstützungssystem zum frühestmöglichen Zeitpunkt, zwingend aber vor Entlassung des Neugeborenen aus der Klinik, einzurichten.</w:t>
      </w:r>
    </w:p>
    <w:p w14:paraId="6C99E526" w14:textId="77777777" w:rsidR="00513471" w:rsidRDefault="00513471" w:rsidP="00513471">
      <w:pPr>
        <w:tabs>
          <w:tab w:val="left" w:pos="284"/>
        </w:tabs>
        <w:spacing w:line="300" w:lineRule="exact"/>
        <w:ind w:left="284" w:hanging="284"/>
        <w:jc w:val="both"/>
        <w:rPr>
          <w:color w:val="000000" w:themeColor="text1"/>
          <w:sz w:val="24"/>
          <w:szCs w:val="24"/>
        </w:rPr>
      </w:pPr>
      <w:r>
        <w:rPr>
          <w:b/>
          <w:sz w:val="24"/>
          <w:szCs w:val="24"/>
        </w:rPr>
        <w:t>5.</w:t>
      </w:r>
      <w:r>
        <w:rPr>
          <w:b/>
          <w:sz w:val="24"/>
          <w:szCs w:val="24"/>
        </w:rPr>
        <w:tab/>
      </w:r>
      <w:r>
        <w:rPr>
          <w:sz w:val="24"/>
          <w:szCs w:val="24"/>
        </w:rPr>
        <w:t xml:space="preserve">Die Meldung an das Jugendamt erfolgt sobald nach Einschätzung der Klinik </w:t>
      </w:r>
      <w:r>
        <w:rPr>
          <w:color w:val="000000" w:themeColor="text1"/>
          <w:sz w:val="24"/>
          <w:szCs w:val="24"/>
        </w:rPr>
        <w:t>gewichtige Anhaltspunkte vorliegen. Hierzu wird ein standardisierter Meldebogen verwendet. Eine telefonische Information soll soweit wie möglich erfolgen.</w:t>
      </w:r>
    </w:p>
    <w:p w14:paraId="66F8D96A" w14:textId="77777777" w:rsidR="00513471" w:rsidRDefault="00513471" w:rsidP="00513471">
      <w:pPr>
        <w:tabs>
          <w:tab w:val="left" w:pos="284"/>
        </w:tabs>
        <w:spacing w:line="300" w:lineRule="exact"/>
        <w:ind w:left="284" w:hanging="284"/>
        <w:jc w:val="both"/>
        <w:rPr>
          <w:sz w:val="24"/>
          <w:szCs w:val="24"/>
        </w:rPr>
      </w:pPr>
      <w:r>
        <w:rPr>
          <w:b/>
          <w:sz w:val="24"/>
          <w:szCs w:val="24"/>
        </w:rPr>
        <w:t>6.</w:t>
      </w:r>
      <w:r>
        <w:rPr>
          <w:b/>
          <w:sz w:val="24"/>
          <w:szCs w:val="24"/>
        </w:rPr>
        <w:tab/>
      </w:r>
      <w:r>
        <w:rPr>
          <w:sz w:val="24"/>
          <w:szCs w:val="24"/>
        </w:rPr>
        <w:t>Die Kinderklinik lässt dem Kooperationspartner relevante fachliche Informationen und Daten zum Krankheitsverlauf eines gefährdeten Kindes in Form der Kopie des Arztbriefes (nach Entlassung) zukommen</w:t>
      </w:r>
      <w:r>
        <w:rPr>
          <w:color w:val="000000" w:themeColor="text1"/>
          <w:sz w:val="24"/>
          <w:szCs w:val="24"/>
        </w:rPr>
        <w:t xml:space="preserve">. Außerdem erstellen die mit Kinderschutzaufgaben betrauten Ärzte der Klinik auf Wunsch dem zuständigen Jugendamt eine zeitnahe vorläufige ärztliche Stellungnahme. Über den genannten Umfang hinausgehende Schriftstücke werden als fachärztliche Gutachten </w:t>
      </w:r>
      <w:r>
        <w:rPr>
          <w:sz w:val="24"/>
          <w:szCs w:val="24"/>
        </w:rPr>
        <w:t xml:space="preserve">angesehen und bedürfen der gesonderten Vereinbarung oder einer Beauftragung durch die Ermittlungsbehörden oder ein Gericht. </w:t>
      </w:r>
    </w:p>
    <w:p w14:paraId="73B9A606" w14:textId="77777777" w:rsidR="00513471" w:rsidRDefault="00513471" w:rsidP="00513471">
      <w:pPr>
        <w:tabs>
          <w:tab w:val="left" w:pos="284"/>
        </w:tabs>
        <w:spacing w:line="300" w:lineRule="exact"/>
        <w:ind w:left="284" w:hanging="284"/>
        <w:jc w:val="both"/>
        <w:rPr>
          <w:sz w:val="24"/>
          <w:szCs w:val="24"/>
        </w:rPr>
      </w:pPr>
      <w:r>
        <w:rPr>
          <w:b/>
          <w:sz w:val="24"/>
          <w:szCs w:val="24"/>
        </w:rPr>
        <w:t>7.</w:t>
      </w:r>
      <w:r>
        <w:rPr>
          <w:sz w:val="24"/>
          <w:szCs w:val="24"/>
        </w:rPr>
        <w:t xml:space="preserve"> Die Kinderklinik stellt für jeden Fall einer drohenden oder bestätigten Kindeswohlgefährdung eine </w:t>
      </w:r>
      <w:r>
        <w:rPr>
          <w:color w:val="000000" w:themeColor="text1"/>
          <w:sz w:val="24"/>
          <w:szCs w:val="24"/>
        </w:rPr>
        <w:t xml:space="preserve">Ansprechperson ggf. mit Vertretung </w:t>
      </w:r>
      <w:r>
        <w:rPr>
          <w:sz w:val="24"/>
          <w:szCs w:val="24"/>
        </w:rPr>
        <w:t>bereit. Diese rekrutiert sich aus den Reihen der mit Kinderschutz befassten Mitarbeiterinnen und Mitarbeiter der Klinik und ist verantwortlich für die fallbezogene Einhaltung und Umsetzung der unter den Punkten 1, 4, 5, 6 und 8 genannten Aufgaben der Kinderklinik. Die Ansprechperson wird der zuständigen Vertretung des Kooperationspartners umgehend namentlich genannt.</w:t>
      </w:r>
    </w:p>
    <w:p w14:paraId="34233150" w14:textId="77777777" w:rsidR="00513471" w:rsidRDefault="00513471" w:rsidP="00513471">
      <w:pPr>
        <w:tabs>
          <w:tab w:val="left" w:pos="284"/>
        </w:tabs>
        <w:spacing w:after="0" w:line="300" w:lineRule="exact"/>
        <w:ind w:left="284" w:hanging="284"/>
        <w:jc w:val="both"/>
        <w:rPr>
          <w:sz w:val="24"/>
          <w:szCs w:val="24"/>
        </w:rPr>
      </w:pPr>
      <w:r>
        <w:rPr>
          <w:b/>
          <w:sz w:val="24"/>
          <w:szCs w:val="24"/>
        </w:rPr>
        <w:t>8.</w:t>
      </w:r>
      <w:r>
        <w:rPr>
          <w:sz w:val="24"/>
          <w:szCs w:val="24"/>
        </w:rPr>
        <w:t xml:space="preserve"> </w:t>
      </w:r>
      <w:r>
        <w:rPr>
          <w:color w:val="000000" w:themeColor="text1"/>
          <w:sz w:val="24"/>
          <w:szCs w:val="24"/>
        </w:rPr>
        <w:t xml:space="preserve">Bei Vorliegen gewichtiger Anhaltspunkte, </w:t>
      </w:r>
      <w:r>
        <w:rPr>
          <w:sz w:val="24"/>
          <w:szCs w:val="24"/>
        </w:rPr>
        <w:t xml:space="preserve">insbesondere auch bei konkreten Hinweisen auf eine Vernachlässigung, erfolgt eine </w:t>
      </w:r>
      <w:r>
        <w:rPr>
          <w:color w:val="000000" w:themeColor="text1"/>
          <w:sz w:val="24"/>
          <w:szCs w:val="24"/>
        </w:rPr>
        <w:t>klinikinterne Diagnostik und eine erste Fallbesprechung zur Planung des weiteren Vorgehens bzw. zur Verdachtsklärung.</w:t>
      </w:r>
      <w:r>
        <w:rPr>
          <w:color w:val="FF0000"/>
          <w:sz w:val="24"/>
          <w:szCs w:val="24"/>
        </w:rPr>
        <w:t xml:space="preserve"> </w:t>
      </w:r>
      <w:r>
        <w:rPr>
          <w:color w:val="000000" w:themeColor="text1"/>
          <w:sz w:val="24"/>
          <w:szCs w:val="24"/>
        </w:rPr>
        <w:t>Bei weiter vorhandenen gewichtigen Anhaltspunkten erfolgt nach §4 KKG die Information des zuständigen Jugendamtes.</w:t>
      </w:r>
      <w:r>
        <w:rPr>
          <w:color w:val="FF0000"/>
          <w:sz w:val="24"/>
          <w:szCs w:val="24"/>
        </w:rPr>
        <w:t xml:space="preserve"> </w:t>
      </w:r>
      <w:r>
        <w:rPr>
          <w:sz w:val="24"/>
          <w:szCs w:val="24"/>
        </w:rPr>
        <w:t xml:space="preserve">Danach beruft die Klinik eine Fallkonferenz (im Sinne einer Helferkonferenz) ein. An dieser nehmen von ihrer Seite mindestens ein mit Kinderschutzaufgaben betrauter Arzt und ein Mitarbeiter des Sozialpädagogischen Dienstes teil sowie die zuständige Vertretung des Jugendamtes, die Sorgeberechtigten des Kindes (in der Regel die Eltern) sowie bei Bedarf weitere Personen. In der Regel erfolgt zuvor eine Besprechung der Klinikmitarbeiter mit dem Jugendamt ohne Beisein der Eltern. Sollte aus Sicht des zuständigen Jugendamtes ein abweichendes Vorgehen erforderlich sein, erfolgt eine entsprechende Rückmeldung an das Kinderkrankenhaus sowie eine Abstimmung mit den Klinikarbeitern.      </w:t>
      </w:r>
    </w:p>
    <w:p w14:paraId="45278ABA" w14:textId="77777777" w:rsidR="00513471" w:rsidRDefault="00513471" w:rsidP="00513471">
      <w:pPr>
        <w:tabs>
          <w:tab w:val="left" w:pos="284"/>
        </w:tabs>
        <w:spacing w:after="0" w:line="300" w:lineRule="exact"/>
        <w:ind w:left="284" w:hanging="284"/>
        <w:jc w:val="both"/>
        <w:rPr>
          <w:sz w:val="24"/>
          <w:szCs w:val="24"/>
        </w:rPr>
      </w:pPr>
      <w:r>
        <w:rPr>
          <w:color w:val="FF0000"/>
          <w:sz w:val="24"/>
          <w:szCs w:val="24"/>
        </w:rPr>
        <w:tab/>
      </w:r>
    </w:p>
    <w:p w14:paraId="1901D20C" w14:textId="77777777" w:rsidR="00513471" w:rsidRDefault="00513471" w:rsidP="00513471">
      <w:pPr>
        <w:tabs>
          <w:tab w:val="left" w:pos="284"/>
        </w:tabs>
        <w:spacing w:after="0" w:line="300" w:lineRule="exact"/>
        <w:ind w:left="284" w:hanging="284"/>
        <w:jc w:val="both"/>
        <w:rPr>
          <w:sz w:val="24"/>
          <w:szCs w:val="24"/>
        </w:rPr>
      </w:pPr>
      <w:r>
        <w:rPr>
          <w:b/>
          <w:sz w:val="24"/>
          <w:szCs w:val="24"/>
        </w:rPr>
        <w:t>9.</w:t>
      </w:r>
      <w:r>
        <w:rPr>
          <w:sz w:val="24"/>
          <w:szCs w:val="24"/>
        </w:rPr>
        <w:t xml:space="preserve"> Der zuständige Arzt teilt die voraussichtliche stationäre Aufenthaltsdauer des Kindes dem Jugendamt mit. Organisatorische Belange des Jugendamtes sind dabei möglichst zu berücksichtigen. Sollte die medizinisch begründbare Aufenthaltsdauer des Kindes überschritten werden, stimmt das Krankenhaus die Notwendigkeit eines weiteren Aufenthaltes sowie die Übernahme der Kosten unverzüglich mit dem örtlich zuständigen Jugendamt ab. Übernimmt das Jugendamt die Kosten des weiteren Aufenthaltes, ist der Aufenthalt einer Begleitperson – sofern aus psychosozialer Indikation indiziert – mit abgegolten.</w:t>
      </w:r>
    </w:p>
    <w:p w14:paraId="75E3CCFB" w14:textId="77777777" w:rsidR="00513471" w:rsidRDefault="00513471" w:rsidP="00513471">
      <w:pPr>
        <w:tabs>
          <w:tab w:val="left" w:pos="284"/>
        </w:tabs>
        <w:spacing w:after="0" w:line="300" w:lineRule="exact"/>
        <w:ind w:left="284" w:hanging="284"/>
        <w:jc w:val="both"/>
        <w:rPr>
          <w:sz w:val="24"/>
          <w:szCs w:val="24"/>
        </w:rPr>
      </w:pPr>
      <w:r>
        <w:rPr>
          <w:sz w:val="24"/>
          <w:szCs w:val="24"/>
        </w:rPr>
        <w:tab/>
        <w:t xml:space="preserve">Im Falle, dass dies im Rahmen </w:t>
      </w:r>
      <w:proofErr w:type="gramStart"/>
      <w:r>
        <w:rPr>
          <w:sz w:val="24"/>
          <w:szCs w:val="24"/>
        </w:rPr>
        <w:t>einer reinen Inobhutnahme</w:t>
      </w:r>
      <w:proofErr w:type="gramEnd"/>
      <w:r>
        <w:rPr>
          <w:sz w:val="24"/>
          <w:szCs w:val="24"/>
        </w:rPr>
        <w:t xml:space="preserve"> erfolgt, hat das Jugendamt die hierfür erforderlichen Schritte zu unternehmen.</w:t>
      </w:r>
    </w:p>
    <w:p w14:paraId="3F3BA2FC" w14:textId="77777777" w:rsidR="00513471" w:rsidRDefault="00513471" w:rsidP="00513471">
      <w:pPr>
        <w:tabs>
          <w:tab w:val="left" w:pos="284"/>
        </w:tabs>
        <w:spacing w:after="0" w:line="300" w:lineRule="exact"/>
        <w:ind w:left="284" w:hanging="284"/>
        <w:jc w:val="both"/>
        <w:rPr>
          <w:sz w:val="24"/>
          <w:szCs w:val="24"/>
        </w:rPr>
      </w:pPr>
    </w:p>
    <w:p w14:paraId="6DE8634D" w14:textId="4A0FAE46" w:rsidR="00513471" w:rsidRDefault="00513471" w:rsidP="00513471">
      <w:pPr>
        <w:tabs>
          <w:tab w:val="left" w:pos="284"/>
        </w:tabs>
        <w:spacing w:after="0" w:line="300" w:lineRule="exact"/>
        <w:ind w:left="284" w:hanging="284"/>
        <w:jc w:val="both"/>
        <w:rPr>
          <w:bCs/>
          <w:color w:val="000000" w:themeColor="text1"/>
          <w:sz w:val="24"/>
          <w:szCs w:val="24"/>
        </w:rPr>
      </w:pPr>
      <w:r>
        <w:rPr>
          <w:b/>
          <w:bCs/>
          <w:sz w:val="24"/>
          <w:szCs w:val="24"/>
        </w:rPr>
        <w:t>10.</w:t>
      </w:r>
      <w:r w:rsidR="00CE046B">
        <w:rPr>
          <w:b/>
          <w:bCs/>
          <w:sz w:val="24"/>
          <w:szCs w:val="24"/>
        </w:rPr>
        <w:t xml:space="preserve"> </w:t>
      </w:r>
      <w:r>
        <w:rPr>
          <w:bCs/>
          <w:color w:val="000000" w:themeColor="text1"/>
          <w:sz w:val="24"/>
          <w:szCs w:val="24"/>
        </w:rPr>
        <w:t xml:space="preserve">Die Kinderklinik bietet im Rahmen des SPZ über die dort angegliederte Kinderschutzambulanz (oder analoge Strukturen) die Möglichkeit zeitnaher, ambulanter medizinischer Untersuchungen im Rahmen eines Schutzkonzeptes. </w:t>
      </w:r>
      <w:r>
        <w:rPr>
          <w:bCs/>
          <w:sz w:val="24"/>
          <w:szCs w:val="24"/>
        </w:rPr>
        <w:t xml:space="preserve">Hierfür findet ein enger Austausch mit der fallverantwortlichen Fachkraft des Jugendamtes statt. </w:t>
      </w:r>
      <w:r>
        <w:rPr>
          <w:bCs/>
          <w:color w:val="000000" w:themeColor="text1"/>
          <w:sz w:val="24"/>
          <w:szCs w:val="24"/>
        </w:rPr>
        <w:t>Die Klinik benötigt für diese Untersuchungen eine Überweisung an das SPZ.</w:t>
      </w:r>
      <w:r>
        <w:rPr>
          <w:color w:val="000000" w:themeColor="text1"/>
          <w:sz w:val="24"/>
          <w:szCs w:val="24"/>
        </w:rPr>
        <w:t xml:space="preserve"> Der </w:t>
      </w:r>
      <w:r>
        <w:rPr>
          <w:bCs/>
          <w:color w:val="000000" w:themeColor="text1"/>
          <w:sz w:val="24"/>
          <w:szCs w:val="24"/>
        </w:rPr>
        <w:t xml:space="preserve">Überweisungsschein darf </w:t>
      </w:r>
      <w:r>
        <w:rPr>
          <w:bCs/>
          <w:color w:val="000000" w:themeColor="text1"/>
          <w:sz w:val="24"/>
          <w:szCs w:val="24"/>
          <w:u w:val="single"/>
        </w:rPr>
        <w:t>NUR</w:t>
      </w:r>
      <w:r>
        <w:rPr>
          <w:bCs/>
          <w:color w:val="000000" w:themeColor="text1"/>
          <w:sz w:val="24"/>
          <w:szCs w:val="24"/>
        </w:rPr>
        <w:t xml:space="preserve"> vom Kinderarzt ausgestellt werden.</w:t>
      </w:r>
    </w:p>
    <w:p w14:paraId="0736854D" w14:textId="77777777" w:rsidR="00513471" w:rsidRDefault="00513471" w:rsidP="00513471">
      <w:pPr>
        <w:tabs>
          <w:tab w:val="left" w:pos="284"/>
        </w:tabs>
        <w:spacing w:after="0" w:line="300" w:lineRule="exact"/>
        <w:ind w:left="284" w:hanging="284"/>
        <w:rPr>
          <w:bCs/>
          <w:color w:val="FF0000"/>
          <w:sz w:val="24"/>
          <w:szCs w:val="24"/>
        </w:rPr>
      </w:pPr>
      <w:r>
        <w:rPr>
          <w:bCs/>
          <w:color w:val="FF0000"/>
          <w:sz w:val="24"/>
          <w:szCs w:val="24"/>
        </w:rPr>
        <w:tab/>
      </w:r>
      <w:r>
        <w:rPr>
          <w:bCs/>
          <w:color w:val="000000" w:themeColor="text1"/>
          <w:sz w:val="24"/>
          <w:szCs w:val="24"/>
        </w:rPr>
        <w:t>Ausnahmen für die Vorlage eines SPZ Scheines gibt es:</w:t>
      </w:r>
    </w:p>
    <w:p w14:paraId="51A4860E" w14:textId="77777777" w:rsidR="00513471" w:rsidRDefault="00513471" w:rsidP="00513471">
      <w:pPr>
        <w:tabs>
          <w:tab w:val="left" w:pos="284"/>
        </w:tabs>
        <w:spacing w:after="0" w:line="300" w:lineRule="exact"/>
        <w:ind w:left="704" w:hanging="420"/>
        <w:rPr>
          <w:bCs/>
          <w:sz w:val="24"/>
          <w:szCs w:val="24"/>
        </w:rPr>
      </w:pPr>
      <w:r>
        <w:rPr>
          <w:bCs/>
          <w:sz w:val="24"/>
          <w:szCs w:val="24"/>
        </w:rPr>
        <w:t>•</w:t>
      </w:r>
      <w:r>
        <w:rPr>
          <w:bCs/>
          <w:sz w:val="24"/>
          <w:szCs w:val="24"/>
        </w:rPr>
        <w:tab/>
        <w:t>für kurzfristige Notfallvorstellungen über die Notaufnahme (jederzeit möglich, mit Versichertenkarte)</w:t>
      </w:r>
    </w:p>
    <w:p w14:paraId="2FB7B1EF" w14:textId="77777777" w:rsidR="00513471" w:rsidRDefault="00513471" w:rsidP="00513471">
      <w:pPr>
        <w:tabs>
          <w:tab w:val="left" w:pos="284"/>
        </w:tabs>
        <w:spacing w:after="0" w:line="300" w:lineRule="exact"/>
        <w:ind w:left="284"/>
        <w:rPr>
          <w:bCs/>
          <w:sz w:val="24"/>
          <w:szCs w:val="24"/>
        </w:rPr>
      </w:pPr>
      <w:r>
        <w:rPr>
          <w:bCs/>
          <w:sz w:val="24"/>
          <w:szCs w:val="24"/>
        </w:rPr>
        <w:t>•</w:t>
      </w:r>
      <w:r>
        <w:rPr>
          <w:bCs/>
          <w:sz w:val="24"/>
          <w:szCs w:val="24"/>
        </w:rPr>
        <w:tab/>
        <w:t>in Einzelfällen nach persönlicher Rücksprache</w:t>
      </w:r>
    </w:p>
    <w:p w14:paraId="3531F86A" w14:textId="77777777" w:rsidR="00513471" w:rsidRDefault="00513471" w:rsidP="00513471">
      <w:pPr>
        <w:tabs>
          <w:tab w:val="left" w:pos="284"/>
        </w:tabs>
        <w:spacing w:line="300" w:lineRule="exact"/>
        <w:rPr>
          <w:bCs/>
        </w:rPr>
      </w:pPr>
    </w:p>
    <w:p w14:paraId="5913C523" w14:textId="569D90DD" w:rsidR="00513471" w:rsidRDefault="00513471" w:rsidP="00513471">
      <w:pPr>
        <w:tabs>
          <w:tab w:val="left" w:pos="284"/>
        </w:tabs>
        <w:spacing w:after="120" w:line="300" w:lineRule="exact"/>
        <w:ind w:right="-851"/>
        <w:rPr>
          <w:b/>
          <w:bCs/>
          <w:color w:val="2E959A"/>
          <w:sz w:val="28"/>
          <w:szCs w:val="28"/>
        </w:rPr>
      </w:pPr>
      <w:r>
        <w:rPr>
          <w:b/>
          <w:bCs/>
          <w:color w:val="2E959A"/>
          <w:sz w:val="28"/>
          <w:szCs w:val="28"/>
        </w:rPr>
        <w:t xml:space="preserve">§ 2 Fallbezogene Kooperation: Aufgaben des Jugendamtes </w:t>
      </w:r>
    </w:p>
    <w:p w14:paraId="667EA641" w14:textId="77777777" w:rsidR="00513471" w:rsidRDefault="00513471" w:rsidP="00513471">
      <w:pPr>
        <w:tabs>
          <w:tab w:val="left" w:pos="284"/>
        </w:tabs>
        <w:spacing w:line="300" w:lineRule="exact"/>
        <w:ind w:left="284" w:hanging="284"/>
        <w:jc w:val="both"/>
        <w:rPr>
          <w:sz w:val="24"/>
          <w:szCs w:val="24"/>
        </w:rPr>
      </w:pPr>
      <w:r>
        <w:rPr>
          <w:sz w:val="24"/>
          <w:szCs w:val="24"/>
        </w:rPr>
        <w:t>1.</w:t>
      </w:r>
      <w:r>
        <w:rPr>
          <w:sz w:val="24"/>
          <w:szCs w:val="24"/>
        </w:rPr>
        <w:tab/>
        <w:t>Das Jugendamt benennt spätestens am folgenden Werktag nach Eingang der Meldung eine Fachkraft, die den Fall weiter betreut. Diese benannte Vertretung des Jugendamtes nimmt an der von der Klinik einberufenen Helferkonferenz teil und ist für die zeitnahe poststationäre Planung und ggf. infrage kommender Jugendhilfemaßnahmen inkl. der Erstellung eines notwendigen Schutzkonzeptes verantwortlich. Es gelten dafür die entsprechenden internen Verfahren und Standards des Jugendamtes.</w:t>
      </w:r>
    </w:p>
    <w:p w14:paraId="23BD03F3" w14:textId="77777777" w:rsidR="00513471" w:rsidRDefault="00513471" w:rsidP="00513471">
      <w:pPr>
        <w:tabs>
          <w:tab w:val="left" w:pos="284"/>
        </w:tabs>
        <w:spacing w:line="300" w:lineRule="exact"/>
        <w:ind w:left="284" w:hanging="284"/>
        <w:jc w:val="both"/>
        <w:rPr>
          <w:sz w:val="24"/>
          <w:szCs w:val="24"/>
        </w:rPr>
      </w:pPr>
      <w:r>
        <w:rPr>
          <w:sz w:val="24"/>
          <w:szCs w:val="24"/>
        </w:rPr>
        <w:t>2.</w:t>
      </w:r>
      <w:r>
        <w:rPr>
          <w:sz w:val="24"/>
          <w:szCs w:val="24"/>
        </w:rPr>
        <w:tab/>
        <w:t>Mit der Teilnahme an der Helferkonferenz erfüllt das Jugendamt einen Teil seiner in § 8a SGB VIII gesetzlich festgelegten Verpflichtung zur Gefährdungseinschätzung. Insofern dient das Ergebnis der Fall- (Helfer-)</w:t>
      </w:r>
      <w:proofErr w:type="spellStart"/>
      <w:r>
        <w:rPr>
          <w:sz w:val="24"/>
          <w:szCs w:val="24"/>
        </w:rPr>
        <w:t>konferenz</w:t>
      </w:r>
      <w:proofErr w:type="spellEnd"/>
      <w:r>
        <w:rPr>
          <w:sz w:val="24"/>
          <w:szCs w:val="24"/>
        </w:rPr>
        <w:t xml:space="preserve"> dem Jugendamt als Entscheidungshilfe für das weitere Vorgehen. Falls erforderlich, hat das Jugendamt die Möglichkeit, weitere Helferkonferenzen in Absprache mit der Kinderklinik einzuberufen.</w:t>
      </w:r>
    </w:p>
    <w:p w14:paraId="254D502E" w14:textId="77777777" w:rsidR="00513471" w:rsidRDefault="00513471" w:rsidP="00513471">
      <w:pPr>
        <w:tabs>
          <w:tab w:val="left" w:pos="284"/>
        </w:tabs>
        <w:spacing w:line="300" w:lineRule="exact"/>
        <w:ind w:left="284" w:hanging="284"/>
        <w:jc w:val="both"/>
        <w:rPr>
          <w:sz w:val="24"/>
          <w:szCs w:val="24"/>
        </w:rPr>
      </w:pPr>
      <w:r>
        <w:rPr>
          <w:sz w:val="24"/>
          <w:szCs w:val="24"/>
        </w:rPr>
        <w:t>3.</w:t>
      </w:r>
      <w:r>
        <w:rPr>
          <w:sz w:val="24"/>
          <w:szCs w:val="24"/>
        </w:rPr>
        <w:tab/>
        <w:t xml:space="preserve">Das Jugendamt wirkt darauf hin, dass die Eltern vereinbarte medizinische Nachkontrollen wahrnehmen. </w:t>
      </w:r>
      <w:r>
        <w:rPr>
          <w:sz w:val="24"/>
          <w:szCs w:val="24"/>
        </w:rPr>
        <w:br/>
        <w:t>Die Kinderklinik meldet Terminabsagen oder ein Nichterscheinen an den zuständigen Jugendamtsmitarbeiter, der in eigener Zuständigkeit über das weitere Vorgehen entscheidet.</w:t>
      </w:r>
    </w:p>
    <w:p w14:paraId="2209B274" w14:textId="77777777" w:rsidR="00513471" w:rsidRDefault="00513471" w:rsidP="00513471">
      <w:pPr>
        <w:tabs>
          <w:tab w:val="left" w:pos="284"/>
        </w:tabs>
        <w:spacing w:line="300" w:lineRule="exact"/>
        <w:ind w:left="284" w:hanging="284"/>
        <w:jc w:val="both"/>
        <w:rPr>
          <w:color w:val="C00000"/>
          <w:sz w:val="24"/>
          <w:szCs w:val="24"/>
        </w:rPr>
      </w:pPr>
      <w:r>
        <w:rPr>
          <w:sz w:val="24"/>
          <w:szCs w:val="24"/>
        </w:rPr>
        <w:t>4.</w:t>
      </w:r>
      <w:r>
        <w:rPr>
          <w:sz w:val="24"/>
          <w:szCs w:val="24"/>
        </w:rPr>
        <w:tab/>
        <w:t xml:space="preserve">Das Jugendamt informiert das Kinderkrankenhaus über den Abschluss der Gefährdungsmeldung in der jeweils angemessenen Form schriftlich oder mündlich. </w:t>
      </w:r>
    </w:p>
    <w:p w14:paraId="690FD964" w14:textId="77777777" w:rsidR="00513471" w:rsidRDefault="00513471" w:rsidP="00513471">
      <w:pPr>
        <w:tabs>
          <w:tab w:val="left" w:pos="284"/>
        </w:tabs>
        <w:spacing w:after="0" w:line="300" w:lineRule="exact"/>
        <w:jc w:val="both"/>
        <w:rPr>
          <w:bCs/>
          <w:color w:val="000000" w:themeColor="text1"/>
          <w:sz w:val="24"/>
        </w:rPr>
      </w:pPr>
      <w:r>
        <w:rPr>
          <w:bCs/>
          <w:color w:val="000000" w:themeColor="text1"/>
          <w:sz w:val="24"/>
        </w:rPr>
        <w:t>5.1. Zuständigkeiten bei Kindeswohlgefährdung</w:t>
      </w:r>
    </w:p>
    <w:p w14:paraId="2013B596" w14:textId="77777777" w:rsidR="00513471" w:rsidRDefault="00513471" w:rsidP="00513471">
      <w:pPr>
        <w:tabs>
          <w:tab w:val="left" w:pos="284"/>
        </w:tabs>
        <w:spacing w:after="0" w:line="300" w:lineRule="exact"/>
        <w:ind w:left="284"/>
        <w:jc w:val="both"/>
        <w:rPr>
          <w:bCs/>
          <w:color w:val="000000" w:themeColor="text1"/>
          <w:sz w:val="24"/>
        </w:rPr>
      </w:pPr>
      <w:r>
        <w:rPr>
          <w:bCs/>
          <w:color w:val="000000" w:themeColor="text1"/>
          <w:sz w:val="24"/>
        </w:rPr>
        <w:t>Gewichtige Anhaltspunkte für eine Kindeswohlgefährdung, die keine dringende Gefahr darstellen und somit keine Inobhutnahme notwendig machen, sind dem Jugendamt mitzuteilen, in dessen Bezirk die personensorgeberechtigten Eltern bzw. der betreuende Elternteil den gewöhnlichen Aufenthalt haben / hat. Das Jugendamt prüft in eigener Zuständigkeit die weiteren Handlungsschritte. Hier kommen insbesondere in Frage:</w:t>
      </w:r>
    </w:p>
    <w:p w14:paraId="2F29F051" w14:textId="77777777" w:rsidR="00513471" w:rsidRDefault="00513471" w:rsidP="00513471">
      <w:pPr>
        <w:pStyle w:val="Listenabsatz"/>
        <w:numPr>
          <w:ilvl w:val="0"/>
          <w:numId w:val="1"/>
        </w:numPr>
        <w:tabs>
          <w:tab w:val="left" w:pos="284"/>
        </w:tabs>
        <w:spacing w:after="0" w:line="300" w:lineRule="exact"/>
        <w:jc w:val="both"/>
        <w:rPr>
          <w:bCs/>
          <w:color w:val="000000" w:themeColor="text1"/>
          <w:sz w:val="24"/>
        </w:rPr>
      </w:pPr>
      <w:r>
        <w:rPr>
          <w:bCs/>
          <w:color w:val="000000" w:themeColor="text1"/>
          <w:sz w:val="24"/>
        </w:rPr>
        <w:t>die unmittelbare Klärung des Gefährdungsrisikos entsprechend §8a Abs. 1 SGB VIII, auch vor Ort</w:t>
      </w:r>
    </w:p>
    <w:p w14:paraId="76F52F6F" w14:textId="77777777" w:rsidR="00513471" w:rsidRDefault="00513471" w:rsidP="00513471">
      <w:pPr>
        <w:pStyle w:val="Listenabsatz"/>
        <w:numPr>
          <w:ilvl w:val="0"/>
          <w:numId w:val="1"/>
        </w:numPr>
        <w:tabs>
          <w:tab w:val="left" w:pos="284"/>
        </w:tabs>
        <w:spacing w:after="240" w:line="300" w:lineRule="exact"/>
        <w:ind w:left="641" w:hanging="357"/>
        <w:jc w:val="both"/>
        <w:rPr>
          <w:bCs/>
          <w:color w:val="000000" w:themeColor="text1"/>
          <w:sz w:val="24"/>
        </w:rPr>
      </w:pPr>
      <w:r>
        <w:rPr>
          <w:bCs/>
          <w:color w:val="000000" w:themeColor="text1"/>
          <w:sz w:val="24"/>
        </w:rPr>
        <w:t>die Anrufung des Familiengerichtes</w:t>
      </w:r>
      <w:r>
        <w:t xml:space="preserve"> </w:t>
      </w:r>
      <w:r>
        <w:rPr>
          <w:bCs/>
          <w:color w:val="000000" w:themeColor="text1"/>
          <w:sz w:val="24"/>
        </w:rPr>
        <w:t>entsprechend §8a Abs. 2 SGB VIII, wenn dieses zur Abwendung einer drohenden Gefährdung notwendig und geeignet ist;</w:t>
      </w:r>
    </w:p>
    <w:p w14:paraId="3729B7A0" w14:textId="77777777" w:rsidR="00513471" w:rsidRDefault="00513471" w:rsidP="00513471">
      <w:pPr>
        <w:tabs>
          <w:tab w:val="left" w:pos="284"/>
        </w:tabs>
        <w:spacing w:after="0" w:line="300" w:lineRule="exact"/>
        <w:jc w:val="both"/>
        <w:rPr>
          <w:bCs/>
          <w:color w:val="000000" w:themeColor="text1"/>
          <w:sz w:val="24"/>
        </w:rPr>
      </w:pPr>
      <w:r>
        <w:rPr>
          <w:bCs/>
          <w:color w:val="000000" w:themeColor="text1"/>
          <w:sz w:val="24"/>
        </w:rPr>
        <w:t>5.2. Zuständigkeiten bei Inobhutnahmen</w:t>
      </w:r>
    </w:p>
    <w:p w14:paraId="56764A2B" w14:textId="77777777" w:rsidR="00513471" w:rsidRDefault="00513471" w:rsidP="00513471">
      <w:pPr>
        <w:tabs>
          <w:tab w:val="left" w:pos="284"/>
        </w:tabs>
        <w:spacing w:after="0" w:line="300" w:lineRule="exact"/>
        <w:ind w:left="284"/>
        <w:jc w:val="both"/>
        <w:rPr>
          <w:bCs/>
          <w:color w:val="000000" w:themeColor="text1"/>
          <w:sz w:val="24"/>
        </w:rPr>
      </w:pPr>
      <w:r>
        <w:rPr>
          <w:bCs/>
          <w:color w:val="000000" w:themeColor="text1"/>
          <w:sz w:val="24"/>
        </w:rPr>
        <w:t xml:space="preserve">Im Falle einer erforderlichen Inobhutnahme gem. §42 SGB VIII aufgrund einer dringenden Gefahr für das Kindeswohl, ist gem. §87 SGB VIII das hiesige Jugendamt zuständig und wird vom Kinderkrankenhaus kontaktiert. Die Überprüfung und Entscheidung der Notwendigkeit </w:t>
      </w:r>
      <w:proofErr w:type="gramStart"/>
      <w:r>
        <w:rPr>
          <w:bCs/>
          <w:color w:val="000000" w:themeColor="text1"/>
          <w:sz w:val="24"/>
        </w:rPr>
        <w:t>einer Inobhutnahme</w:t>
      </w:r>
      <w:proofErr w:type="gramEnd"/>
      <w:r>
        <w:rPr>
          <w:bCs/>
          <w:color w:val="000000" w:themeColor="text1"/>
          <w:sz w:val="24"/>
        </w:rPr>
        <w:t xml:space="preserve"> obliegt dem Jugendamt.</w:t>
      </w:r>
    </w:p>
    <w:p w14:paraId="130833AF" w14:textId="77777777" w:rsidR="00513471" w:rsidRDefault="00513471" w:rsidP="00513471">
      <w:pPr>
        <w:tabs>
          <w:tab w:val="left" w:pos="284"/>
        </w:tabs>
        <w:spacing w:after="0" w:line="300" w:lineRule="exact"/>
        <w:ind w:left="284"/>
        <w:jc w:val="both"/>
        <w:rPr>
          <w:bCs/>
          <w:color w:val="000000" w:themeColor="text1"/>
          <w:sz w:val="24"/>
        </w:rPr>
      </w:pPr>
      <w:r>
        <w:rPr>
          <w:bCs/>
          <w:color w:val="000000" w:themeColor="text1"/>
          <w:sz w:val="24"/>
        </w:rPr>
        <w:t>Außerhalb der Dienstzeiten ist der Rufbereitschaftsdienst des Jugendamtes für dringende Fälle (unmittelbare Gefahr für das Kindeswohl) über die Polizeiinspektion zu erreichen.</w:t>
      </w:r>
    </w:p>
    <w:p w14:paraId="3CB36ECE" w14:textId="75CB5B87" w:rsidR="00513471" w:rsidRDefault="00513471" w:rsidP="00513471">
      <w:pPr>
        <w:tabs>
          <w:tab w:val="left" w:pos="284"/>
        </w:tabs>
        <w:spacing w:after="0" w:line="300" w:lineRule="exact"/>
        <w:ind w:right="-851"/>
        <w:rPr>
          <w:b/>
          <w:bCs/>
          <w:color w:val="2E959A"/>
        </w:rPr>
      </w:pPr>
    </w:p>
    <w:p w14:paraId="158343CE" w14:textId="67CCEFC1" w:rsidR="00CE046B" w:rsidRDefault="00CE046B" w:rsidP="00513471">
      <w:pPr>
        <w:tabs>
          <w:tab w:val="left" w:pos="284"/>
        </w:tabs>
        <w:spacing w:after="0" w:line="300" w:lineRule="exact"/>
        <w:ind w:right="-851"/>
        <w:rPr>
          <w:b/>
          <w:bCs/>
          <w:color w:val="2E959A"/>
        </w:rPr>
      </w:pPr>
    </w:p>
    <w:p w14:paraId="3C16A89D" w14:textId="77777777" w:rsidR="00CE046B" w:rsidRDefault="00CE046B" w:rsidP="00513471">
      <w:pPr>
        <w:tabs>
          <w:tab w:val="left" w:pos="284"/>
        </w:tabs>
        <w:spacing w:after="0" w:line="300" w:lineRule="exact"/>
        <w:ind w:right="-851"/>
        <w:rPr>
          <w:b/>
          <w:bCs/>
          <w:color w:val="2E959A"/>
        </w:rPr>
      </w:pPr>
    </w:p>
    <w:p w14:paraId="4AAEB172" w14:textId="77777777" w:rsidR="00513471" w:rsidRDefault="00513471" w:rsidP="00513471">
      <w:pPr>
        <w:tabs>
          <w:tab w:val="left" w:pos="284"/>
        </w:tabs>
        <w:spacing w:after="120" w:line="300" w:lineRule="exact"/>
        <w:ind w:right="-851"/>
        <w:rPr>
          <w:b/>
          <w:bCs/>
          <w:color w:val="2E959A"/>
          <w:sz w:val="28"/>
          <w:szCs w:val="28"/>
        </w:rPr>
      </w:pPr>
      <w:r>
        <w:rPr>
          <w:b/>
          <w:bCs/>
          <w:color w:val="2E959A"/>
          <w:sz w:val="28"/>
          <w:szCs w:val="28"/>
        </w:rPr>
        <w:t>§ 3 Einzelfallunabhängige Kooperation</w:t>
      </w:r>
    </w:p>
    <w:p w14:paraId="2ADA4FBC" w14:textId="77777777" w:rsidR="00513471" w:rsidRDefault="00513471" w:rsidP="00513471">
      <w:pPr>
        <w:tabs>
          <w:tab w:val="left" w:pos="284"/>
        </w:tabs>
        <w:spacing w:line="300" w:lineRule="exact"/>
        <w:ind w:left="284" w:hanging="284"/>
        <w:jc w:val="both"/>
        <w:rPr>
          <w:sz w:val="24"/>
          <w:szCs w:val="24"/>
        </w:rPr>
      </w:pPr>
      <w:r>
        <w:rPr>
          <w:b/>
        </w:rPr>
        <w:t>1.</w:t>
      </w:r>
      <w:r>
        <w:tab/>
      </w:r>
      <w:r>
        <w:rPr>
          <w:sz w:val="24"/>
          <w:szCs w:val="24"/>
        </w:rPr>
        <w:t>Im Rahmen einer fallunabhängigen Kooperation nehmen die Vertragspartner an den Treffen der Arbeitsgemeinschaft Kindeswohl zur Förderung des Kindeswohls teil.</w:t>
      </w:r>
    </w:p>
    <w:p w14:paraId="1431B9AA" w14:textId="77777777" w:rsidR="00513471" w:rsidRDefault="00513471" w:rsidP="00513471">
      <w:pPr>
        <w:tabs>
          <w:tab w:val="left" w:pos="284"/>
        </w:tabs>
        <w:spacing w:line="300" w:lineRule="exact"/>
        <w:ind w:left="284" w:hanging="284"/>
        <w:jc w:val="both"/>
        <w:rPr>
          <w:sz w:val="24"/>
          <w:szCs w:val="24"/>
        </w:rPr>
      </w:pPr>
      <w:r>
        <w:rPr>
          <w:sz w:val="24"/>
          <w:szCs w:val="24"/>
        </w:rPr>
        <w:t>2. Die Kooperationspartner entsenden eigene Teilnehmer in gemeinsame Arbeitsgruppen.</w:t>
      </w:r>
    </w:p>
    <w:p w14:paraId="52AC647B" w14:textId="77777777" w:rsidR="00513471" w:rsidRDefault="00513471" w:rsidP="00513471">
      <w:pPr>
        <w:tabs>
          <w:tab w:val="left" w:pos="284"/>
        </w:tabs>
        <w:spacing w:after="0" w:line="300" w:lineRule="exact"/>
        <w:ind w:right="-851"/>
        <w:rPr>
          <w:b/>
          <w:bCs/>
          <w:color w:val="2E959A"/>
          <w:sz w:val="28"/>
          <w:szCs w:val="28"/>
        </w:rPr>
      </w:pPr>
    </w:p>
    <w:p w14:paraId="3A97A597" w14:textId="77777777" w:rsidR="00513471" w:rsidRDefault="00513471" w:rsidP="00513471">
      <w:pPr>
        <w:tabs>
          <w:tab w:val="left" w:pos="284"/>
        </w:tabs>
        <w:spacing w:after="120" w:line="300" w:lineRule="exact"/>
        <w:ind w:right="-851"/>
        <w:rPr>
          <w:b/>
          <w:bCs/>
          <w:color w:val="2E959A"/>
          <w:sz w:val="28"/>
          <w:szCs w:val="28"/>
        </w:rPr>
      </w:pPr>
      <w:r>
        <w:rPr>
          <w:b/>
          <w:bCs/>
          <w:color w:val="2E959A"/>
          <w:sz w:val="28"/>
          <w:szCs w:val="28"/>
        </w:rPr>
        <w:t>§ 4 Weitere Absprachen zur Zusammenarbeit</w:t>
      </w:r>
    </w:p>
    <w:p w14:paraId="66B862B3" w14:textId="77777777" w:rsidR="00513471" w:rsidRDefault="00513471" w:rsidP="00513471">
      <w:pPr>
        <w:tabs>
          <w:tab w:val="left" w:pos="284"/>
        </w:tabs>
        <w:spacing w:line="300" w:lineRule="exact"/>
        <w:ind w:left="284" w:hanging="284"/>
        <w:jc w:val="both"/>
        <w:rPr>
          <w:sz w:val="24"/>
          <w:szCs w:val="24"/>
        </w:rPr>
      </w:pPr>
      <w:r>
        <w:rPr>
          <w:b/>
        </w:rPr>
        <w:t>1.</w:t>
      </w:r>
      <w:r>
        <w:tab/>
      </w:r>
      <w:r>
        <w:rPr>
          <w:sz w:val="24"/>
          <w:szCs w:val="24"/>
        </w:rPr>
        <w:t>Die Kooperationspartner vereinbaren jährliche Treffen, um die Erfüllung des Kooperationsvertrages gemeinsam zu überprüfen, ihre Erfahrungen in der Umsetzung des Vertragsinhaltes auszutauschen und weitere Kooperationsinhalte zu besprechen.</w:t>
      </w:r>
    </w:p>
    <w:p w14:paraId="4AAF6CDB" w14:textId="77777777" w:rsidR="00513471" w:rsidRDefault="00513471" w:rsidP="00513471">
      <w:pPr>
        <w:tabs>
          <w:tab w:val="left" w:pos="284"/>
        </w:tabs>
        <w:spacing w:line="300" w:lineRule="exact"/>
        <w:jc w:val="both"/>
        <w:rPr>
          <w:sz w:val="24"/>
          <w:szCs w:val="24"/>
        </w:rPr>
      </w:pPr>
      <w:r>
        <w:rPr>
          <w:b/>
          <w:sz w:val="24"/>
          <w:szCs w:val="24"/>
        </w:rPr>
        <w:t>2.</w:t>
      </w:r>
      <w:r>
        <w:rPr>
          <w:b/>
          <w:sz w:val="24"/>
          <w:szCs w:val="24"/>
        </w:rPr>
        <w:tab/>
      </w:r>
      <w:r>
        <w:rPr>
          <w:sz w:val="24"/>
          <w:szCs w:val="24"/>
        </w:rPr>
        <w:t>Ihre Arbeitsergebnisse stimmen die Kooperationspartner in der eigenen Institution ab.</w:t>
      </w:r>
    </w:p>
    <w:p w14:paraId="7BDACDBE" w14:textId="28212E06" w:rsidR="00513471" w:rsidRPr="00CE046B" w:rsidRDefault="00CE046B" w:rsidP="00CE046B">
      <w:pPr>
        <w:tabs>
          <w:tab w:val="left" w:pos="284"/>
        </w:tabs>
        <w:spacing w:line="300" w:lineRule="exact"/>
        <w:ind w:left="284" w:hanging="284"/>
        <w:jc w:val="both"/>
        <w:rPr>
          <w:sz w:val="24"/>
          <w:szCs w:val="24"/>
        </w:rPr>
      </w:pPr>
      <w:r w:rsidRPr="00CE046B">
        <w:rPr>
          <w:sz w:val="24"/>
          <w:szCs w:val="24"/>
        </w:rPr>
        <w:t>3.</w:t>
      </w:r>
      <w:r w:rsidRPr="00CE046B">
        <w:rPr>
          <w:sz w:val="24"/>
          <w:szCs w:val="24"/>
        </w:rPr>
        <w:tab/>
      </w:r>
      <w:r w:rsidR="00513471" w:rsidRPr="00CE046B">
        <w:rPr>
          <w:sz w:val="24"/>
          <w:szCs w:val="24"/>
        </w:rPr>
        <w:t>Bei Uneinigkeit bezüglich der Gesamteinschätzung einer Gefährdung oder bei stark divergierenden Meinungen bezüglich dem Vorgehen des Kooperationspartners, soll der Fall nochmal zwischen den fallverantwortlichen Kooperationspartnern besprochen werden. Besteht danach weiterhin eine starke Diskrepanz, sollte der Fall auf Leitungsebene beider Kooperationspartner diskutiert werden. Wenn auch hier keine Einigung zustande kommt, steht den Beteiligten frei, nach eigenem Ermessen weitere Schritte zu unternehmen.</w:t>
      </w:r>
    </w:p>
    <w:p w14:paraId="1413E4BE" w14:textId="77777777" w:rsidR="00513471" w:rsidRDefault="00513471" w:rsidP="00513471">
      <w:pPr>
        <w:tabs>
          <w:tab w:val="left" w:pos="284"/>
        </w:tabs>
        <w:spacing w:line="300" w:lineRule="exact"/>
        <w:ind w:left="284" w:hanging="284"/>
        <w:jc w:val="both"/>
        <w:rPr>
          <w:sz w:val="24"/>
          <w:szCs w:val="24"/>
        </w:rPr>
      </w:pPr>
      <w:r>
        <w:rPr>
          <w:b/>
          <w:sz w:val="24"/>
          <w:szCs w:val="24"/>
        </w:rPr>
        <w:t>4.</w:t>
      </w:r>
      <w:r>
        <w:rPr>
          <w:sz w:val="24"/>
          <w:szCs w:val="24"/>
        </w:rPr>
        <w:tab/>
        <w:t xml:space="preserve">Zum Zeitpunkt des Vertragsabschlusses sind seitens der Kinderklinik </w:t>
      </w:r>
      <w:r>
        <w:rPr>
          <w:i/>
          <w:sz w:val="24"/>
          <w:szCs w:val="24"/>
        </w:rPr>
        <w:t xml:space="preserve">Namen </w:t>
      </w:r>
      <w:r>
        <w:rPr>
          <w:sz w:val="24"/>
          <w:szCs w:val="24"/>
        </w:rPr>
        <w:t>verantwortliche Ärzte für die Einhaltung der Kooperationsvereinbarung. Seitens des Jugendamtes</w:t>
      </w:r>
      <w:r>
        <w:rPr>
          <w:i/>
          <w:sz w:val="24"/>
          <w:szCs w:val="24"/>
        </w:rPr>
        <w:t xml:space="preserve"> Namen</w:t>
      </w:r>
      <w:r>
        <w:rPr>
          <w:sz w:val="24"/>
          <w:szCs w:val="24"/>
        </w:rPr>
        <w:t>….</w:t>
      </w:r>
    </w:p>
    <w:p w14:paraId="5A3B0418" w14:textId="77777777" w:rsidR="00513471" w:rsidRDefault="00513471" w:rsidP="00513471">
      <w:pPr>
        <w:spacing w:line="300" w:lineRule="exact"/>
        <w:rPr>
          <w:sz w:val="24"/>
          <w:szCs w:val="24"/>
        </w:rPr>
      </w:pPr>
    </w:p>
    <w:p w14:paraId="2518F9F7" w14:textId="53E5D32D" w:rsidR="00513471" w:rsidRDefault="00513471" w:rsidP="00513471">
      <w:pPr>
        <w:spacing w:line="300" w:lineRule="exact"/>
        <w:rPr>
          <w:sz w:val="24"/>
          <w:szCs w:val="24"/>
        </w:rPr>
      </w:pPr>
      <w:r>
        <w:rPr>
          <w:sz w:val="24"/>
          <w:szCs w:val="24"/>
        </w:rPr>
        <w:t xml:space="preserve">Ort, den </w:t>
      </w:r>
    </w:p>
    <w:p w14:paraId="32E34D33" w14:textId="77777777" w:rsidR="00CE046B" w:rsidRDefault="00CE046B" w:rsidP="00513471">
      <w:pPr>
        <w:spacing w:line="300" w:lineRule="exact"/>
        <w:rPr>
          <w:sz w:val="24"/>
          <w:szCs w:val="24"/>
        </w:rPr>
      </w:pPr>
    </w:p>
    <w:p w14:paraId="4A3A4C20" w14:textId="77777777" w:rsidR="00513471" w:rsidRDefault="00513471" w:rsidP="00513471">
      <w:pPr>
        <w:spacing w:after="0" w:line="300" w:lineRule="exact"/>
        <w:rPr>
          <w:b/>
          <w:sz w:val="24"/>
          <w:szCs w:val="24"/>
        </w:rPr>
      </w:pPr>
      <w:r>
        <w:rPr>
          <w:b/>
          <w:sz w:val="24"/>
          <w:szCs w:val="24"/>
        </w:rPr>
        <w:t>Unterschriften</w:t>
      </w:r>
    </w:p>
    <w:p w14:paraId="398747D5" w14:textId="77777777" w:rsidR="00513471" w:rsidRDefault="00513471" w:rsidP="00513471">
      <w:pPr>
        <w:spacing w:after="0" w:line="300" w:lineRule="exact"/>
        <w:rPr>
          <w:b/>
          <w:sz w:val="24"/>
          <w:szCs w:val="24"/>
        </w:rPr>
      </w:pPr>
    </w:p>
    <w:p w14:paraId="15DB98EA" w14:textId="77777777" w:rsidR="00513471" w:rsidRDefault="00513471" w:rsidP="00513471">
      <w:pPr>
        <w:spacing w:after="0" w:line="300" w:lineRule="exact"/>
        <w:rPr>
          <w:b/>
          <w:sz w:val="24"/>
          <w:szCs w:val="24"/>
        </w:rPr>
      </w:pPr>
    </w:p>
    <w:p w14:paraId="2485F704" w14:textId="77777777" w:rsidR="00513471" w:rsidRDefault="00513471" w:rsidP="00513471">
      <w:pPr>
        <w:tabs>
          <w:tab w:val="left" w:pos="5670"/>
        </w:tabs>
        <w:spacing w:line="300" w:lineRule="exact"/>
        <w:rPr>
          <w:sz w:val="24"/>
          <w:szCs w:val="24"/>
          <w:u w:val="single"/>
        </w:rPr>
      </w:pPr>
      <w:r>
        <w:rPr>
          <w:sz w:val="24"/>
          <w:szCs w:val="24"/>
          <w:u w:val="single"/>
        </w:rPr>
        <w:t xml:space="preserve">Salvatorische Klausel: </w:t>
      </w:r>
    </w:p>
    <w:p w14:paraId="42621C29" w14:textId="77777777" w:rsidR="00513471" w:rsidRDefault="00513471" w:rsidP="00513471">
      <w:pPr>
        <w:tabs>
          <w:tab w:val="left" w:pos="5670"/>
        </w:tabs>
        <w:spacing w:line="300" w:lineRule="exact"/>
        <w:jc w:val="both"/>
        <w:rPr>
          <w:sz w:val="24"/>
          <w:szCs w:val="24"/>
        </w:rPr>
      </w:pPr>
      <w:r>
        <w:rPr>
          <w:sz w:val="24"/>
          <w:szCs w:val="24"/>
        </w:rPr>
        <w:t>Die Gültigkeit der ursprünglichen Kooperationsvereinbarung ist gewährleistet, auch wenn einzelne Vereinbarungsbestandteile unwirksam geworden sind und diese durch sinnhafte Regelungen mit den Kooperationspartnern ersetzt wurden.</w:t>
      </w:r>
    </w:p>
    <w:p w14:paraId="5251A6A7" w14:textId="77777777" w:rsidR="00D10FD4" w:rsidRDefault="00D10FD4" w:rsidP="00D10FD4"/>
    <w:p w14:paraId="2173442A" w14:textId="77777777" w:rsidR="00D10FD4" w:rsidRPr="00D10FD4" w:rsidRDefault="00D10FD4" w:rsidP="00D10FD4"/>
    <w:sectPr w:rsidR="00D10FD4" w:rsidRPr="00D10FD4" w:rsidSect="00513471">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58B1" w14:textId="77777777" w:rsidR="004A4A69" w:rsidRDefault="004A4A69" w:rsidP="00D10FD4">
      <w:pPr>
        <w:spacing w:after="0" w:line="240" w:lineRule="auto"/>
      </w:pPr>
      <w:r>
        <w:separator/>
      </w:r>
    </w:p>
  </w:endnote>
  <w:endnote w:type="continuationSeparator" w:id="0">
    <w:p w14:paraId="1D127F9F" w14:textId="77777777" w:rsidR="004A4A69" w:rsidRDefault="004A4A69" w:rsidP="00D10FD4">
      <w:pPr>
        <w:spacing w:after="0" w:line="240" w:lineRule="auto"/>
      </w:pPr>
      <w:r>
        <w:continuationSeparator/>
      </w:r>
    </w:p>
  </w:endnote>
  <w:endnote w:type="continuationNotice" w:id="1">
    <w:p w14:paraId="2217BC07" w14:textId="77777777" w:rsidR="004A4A69" w:rsidRDefault="004A4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182D" w14:textId="77777777" w:rsidR="004A4A69" w:rsidRDefault="004A4A69" w:rsidP="00D10FD4">
      <w:pPr>
        <w:spacing w:after="0" w:line="240" w:lineRule="auto"/>
      </w:pPr>
      <w:r>
        <w:separator/>
      </w:r>
    </w:p>
  </w:footnote>
  <w:footnote w:type="continuationSeparator" w:id="0">
    <w:p w14:paraId="53263148" w14:textId="77777777" w:rsidR="004A4A69" w:rsidRDefault="004A4A69" w:rsidP="00D10FD4">
      <w:pPr>
        <w:spacing w:after="0" w:line="240" w:lineRule="auto"/>
      </w:pPr>
      <w:r>
        <w:continuationSeparator/>
      </w:r>
    </w:p>
  </w:footnote>
  <w:footnote w:type="continuationNotice" w:id="1">
    <w:p w14:paraId="00EDC3C0" w14:textId="77777777" w:rsidR="004A4A69" w:rsidRDefault="004A4A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DDD5" w14:textId="4DD468D6" w:rsidR="00513471" w:rsidRDefault="00C04612">
    <w:pPr>
      <w:pStyle w:val="Kopfzeile"/>
    </w:pPr>
    <w:r>
      <w:rPr>
        <w:noProof/>
        <w:lang w:eastAsia="ja-JP"/>
      </w:rPr>
      <w:drawing>
        <wp:anchor distT="0" distB="0" distL="114300" distR="114300" simplePos="0" relativeHeight="251661312" behindDoc="0" locked="0" layoutInCell="1" allowOverlap="1" wp14:anchorId="3E2B2F0C" wp14:editId="3635ED11">
          <wp:simplePos x="0" y="0"/>
          <wp:positionH relativeFrom="column">
            <wp:posOffset>-81280</wp:posOffset>
          </wp:positionH>
          <wp:positionV relativeFrom="paragraph">
            <wp:posOffset>-312530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513471">
      <w:rPr>
        <w:noProof/>
        <w:lang w:eastAsia="ja-JP"/>
      </w:rPr>
      <w:drawing>
        <wp:anchor distT="0" distB="0" distL="114300" distR="114300" simplePos="0" relativeHeight="251660288" behindDoc="1" locked="0" layoutInCell="1" allowOverlap="1" wp14:anchorId="2BAC5373" wp14:editId="68C6B467">
          <wp:simplePos x="0" y="0"/>
          <wp:positionH relativeFrom="margin">
            <wp:posOffset>3455670</wp:posOffset>
          </wp:positionH>
          <wp:positionV relativeFrom="paragraph">
            <wp:posOffset>-284480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75E3"/>
    <w:multiLevelType w:val="hybridMultilevel"/>
    <w:tmpl w:val="C40697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DB979CD"/>
    <w:multiLevelType w:val="hybridMultilevel"/>
    <w:tmpl w:val="5D9E0536"/>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0E5D4F"/>
    <w:rsid w:val="002151A0"/>
    <w:rsid w:val="004A4A69"/>
    <w:rsid w:val="00513471"/>
    <w:rsid w:val="0054097E"/>
    <w:rsid w:val="0062729F"/>
    <w:rsid w:val="007047FE"/>
    <w:rsid w:val="008E3B2D"/>
    <w:rsid w:val="00C04612"/>
    <w:rsid w:val="00CD2B8E"/>
    <w:rsid w:val="00CE046B"/>
    <w:rsid w:val="00D10FD4"/>
    <w:rsid w:val="00DF234A"/>
    <w:rsid w:val="00E77B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paragraph" w:styleId="Listenabsatz">
    <w:name w:val="List Paragraph"/>
    <w:basedOn w:val="Standard"/>
    <w:uiPriority w:val="34"/>
    <w:qFormat/>
    <w:rsid w:val="0051347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2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2.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4.xml><?xml version="1.0" encoding="utf-8"?>
<ds:datastoreItem xmlns:ds="http://schemas.openxmlformats.org/officeDocument/2006/customXml" ds:itemID="{C542EC27-BD50-4275-AF08-D927CB91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1828</Words>
  <Characters>11523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2024-07-22T11:29:00Z</dcterms:created>
  <dcterms:modified xsi:type="dcterms:W3CDTF">2024-07-22T11:29:00Z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