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9AF51" w14:textId="09EA2F9C" w:rsidR="006E207A" w:rsidRDefault="006E207A" w:rsidP="006E207A">
      <w:pPr>
        <w:pStyle w:val="Formulartitel"/>
      </w:pPr>
      <w:r>
        <w:t>Organisation der sta</w:t>
      </w:r>
      <w:bookmarkStart w:id="0" w:name="_GoBack"/>
      <w:bookmarkEnd w:id="0"/>
      <w:r>
        <w:t>tionären Kinderschutzarbeit</w:t>
      </w:r>
    </w:p>
    <w:p w14:paraId="09D77BD0" w14:textId="77777777" w:rsidR="006E207A" w:rsidRDefault="006E207A" w:rsidP="006E207A">
      <w:pPr>
        <w:rPr>
          <w:sz w:val="16"/>
        </w:rPr>
      </w:pPr>
    </w:p>
    <w:tbl>
      <w:tblPr>
        <w:tblStyle w:val="Tabellenraster"/>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25"/>
        <w:gridCol w:w="1413"/>
        <w:gridCol w:w="1529"/>
        <w:gridCol w:w="175"/>
        <w:gridCol w:w="2407"/>
        <w:gridCol w:w="1417"/>
      </w:tblGrid>
      <w:tr w:rsidR="006E207A" w14:paraId="65091A7F" w14:textId="77777777" w:rsidTr="006E207A">
        <w:tc>
          <w:tcPr>
            <w:tcW w:w="1843" w:type="dxa"/>
            <w:hideMark/>
          </w:tcPr>
          <w:p w14:paraId="2AB595AF" w14:textId="77777777" w:rsidR="006E207A" w:rsidRDefault="006E207A">
            <w:pPr>
              <w:rPr>
                <w:b/>
              </w:rPr>
            </w:pPr>
            <w:proofErr w:type="spellStart"/>
            <w:r>
              <w:rPr>
                <w:b/>
              </w:rPr>
              <w:t>Konsilantrag</w:t>
            </w:r>
            <w:proofErr w:type="spellEnd"/>
          </w:p>
        </w:tc>
        <w:tc>
          <w:tcPr>
            <w:tcW w:w="7366" w:type="dxa"/>
            <w:gridSpan w:val="6"/>
          </w:tcPr>
          <w:p w14:paraId="133C1A1E" w14:textId="2EBF3D2A" w:rsidR="006E207A" w:rsidRDefault="006E207A">
            <w:r>
              <w:t xml:space="preserve">Alle Kinder, bei denen a priori oder im Verlauf der stationären Behandlung Sorge um das Kindeswohl entsteht, werden per </w:t>
            </w:r>
            <w:proofErr w:type="spellStart"/>
            <w:r>
              <w:t>Konsil</w:t>
            </w:r>
            <w:proofErr w:type="spellEnd"/>
            <w:r>
              <w:t xml:space="preserve"> an die Kinderschutzgruppe (KSG) gemeldet. </w:t>
            </w:r>
          </w:p>
          <w:p w14:paraId="03C2A594" w14:textId="77777777" w:rsidR="006E207A" w:rsidRDefault="006E207A">
            <w:r>
              <w:t xml:space="preserve">Der Antrag kann von </w:t>
            </w:r>
            <w:r>
              <w:rPr>
                <w:b/>
              </w:rPr>
              <w:t>jedem</w:t>
            </w:r>
            <w:r>
              <w:t xml:space="preserve"> Mitarbeiter der Pflege oder des ärztlichen Dienstes gestellt werden.</w:t>
            </w:r>
          </w:p>
          <w:p w14:paraId="5D56C67A" w14:textId="77777777" w:rsidR="006E207A" w:rsidRDefault="006E207A"/>
        </w:tc>
      </w:tr>
      <w:tr w:rsidR="006E207A" w14:paraId="468F1818" w14:textId="77777777" w:rsidTr="006E207A">
        <w:tc>
          <w:tcPr>
            <w:tcW w:w="2268" w:type="dxa"/>
            <w:gridSpan w:val="2"/>
            <w:hideMark/>
          </w:tcPr>
          <w:p w14:paraId="294A74B9" w14:textId="77777777" w:rsidR="006E207A" w:rsidRDefault="006E207A">
            <w:pPr>
              <w:rPr>
                <w:b/>
              </w:rPr>
            </w:pPr>
            <w:r>
              <w:rPr>
                <w:b/>
              </w:rPr>
              <w:t>Kontakt</w:t>
            </w:r>
          </w:p>
        </w:tc>
        <w:tc>
          <w:tcPr>
            <w:tcW w:w="2942" w:type="dxa"/>
            <w:gridSpan w:val="2"/>
            <w:hideMark/>
          </w:tcPr>
          <w:p w14:paraId="286C96FA" w14:textId="77777777" w:rsidR="006E207A" w:rsidRDefault="006E207A">
            <w:r>
              <w:t>Kinderschutztelefon:</w:t>
            </w:r>
          </w:p>
        </w:tc>
        <w:tc>
          <w:tcPr>
            <w:tcW w:w="3999" w:type="dxa"/>
            <w:gridSpan w:val="3"/>
          </w:tcPr>
          <w:p w14:paraId="68E8D061" w14:textId="77777777" w:rsidR="006E207A" w:rsidRDefault="006E207A"/>
        </w:tc>
      </w:tr>
      <w:tr w:rsidR="006E207A" w14:paraId="0B9E5F3C" w14:textId="77777777" w:rsidTr="006E207A">
        <w:tc>
          <w:tcPr>
            <w:tcW w:w="2268" w:type="dxa"/>
            <w:gridSpan w:val="2"/>
          </w:tcPr>
          <w:p w14:paraId="7A9C180C" w14:textId="77777777" w:rsidR="006E207A" w:rsidRDefault="006E207A"/>
        </w:tc>
        <w:tc>
          <w:tcPr>
            <w:tcW w:w="6941" w:type="dxa"/>
            <w:gridSpan w:val="5"/>
            <w:hideMark/>
          </w:tcPr>
          <w:p w14:paraId="51538190" w14:textId="0CEE9565" w:rsidR="006E207A" w:rsidRDefault="006E207A" w:rsidP="006E207A">
            <w:r>
              <w:t xml:space="preserve">E-Mail KSG: </w:t>
            </w:r>
          </w:p>
        </w:tc>
      </w:tr>
      <w:tr w:rsidR="006E207A" w14:paraId="740421B3" w14:textId="77777777" w:rsidTr="006E207A">
        <w:tc>
          <w:tcPr>
            <w:tcW w:w="2268" w:type="dxa"/>
            <w:gridSpan w:val="2"/>
          </w:tcPr>
          <w:p w14:paraId="55B8462E" w14:textId="77777777" w:rsidR="006E207A" w:rsidRDefault="006E207A"/>
        </w:tc>
        <w:tc>
          <w:tcPr>
            <w:tcW w:w="6941" w:type="dxa"/>
            <w:gridSpan w:val="5"/>
          </w:tcPr>
          <w:p w14:paraId="19693432" w14:textId="77777777" w:rsidR="006E207A" w:rsidRDefault="006E207A"/>
        </w:tc>
      </w:tr>
      <w:tr w:rsidR="006E207A" w14:paraId="7C4CD1E2" w14:textId="77777777" w:rsidTr="006E207A">
        <w:tc>
          <w:tcPr>
            <w:tcW w:w="2268" w:type="dxa"/>
            <w:gridSpan w:val="2"/>
            <w:hideMark/>
          </w:tcPr>
          <w:p w14:paraId="5D8DD16D" w14:textId="77777777" w:rsidR="006E207A" w:rsidRDefault="006E207A">
            <w:pPr>
              <w:rPr>
                <w:b/>
              </w:rPr>
            </w:pPr>
            <w:r>
              <w:rPr>
                <w:b/>
              </w:rPr>
              <w:t>Mitarbeiter der KSG</w:t>
            </w:r>
          </w:p>
        </w:tc>
        <w:tc>
          <w:tcPr>
            <w:tcW w:w="3117" w:type="dxa"/>
            <w:gridSpan w:val="3"/>
          </w:tcPr>
          <w:p w14:paraId="24A8371D" w14:textId="77777777" w:rsidR="006E207A" w:rsidRDefault="006E207A"/>
        </w:tc>
        <w:tc>
          <w:tcPr>
            <w:tcW w:w="3824" w:type="dxa"/>
            <w:gridSpan w:val="2"/>
          </w:tcPr>
          <w:p w14:paraId="64571851" w14:textId="77777777" w:rsidR="006E207A" w:rsidRDefault="006E207A">
            <w:pPr>
              <w:rPr>
                <w:b/>
              </w:rPr>
            </w:pPr>
          </w:p>
        </w:tc>
      </w:tr>
      <w:tr w:rsidR="006E207A" w14:paraId="0664062C" w14:textId="77777777" w:rsidTr="006E207A">
        <w:tc>
          <w:tcPr>
            <w:tcW w:w="2268" w:type="dxa"/>
            <w:gridSpan w:val="2"/>
          </w:tcPr>
          <w:p w14:paraId="2A1CD1F9" w14:textId="77777777" w:rsidR="006E207A" w:rsidRDefault="006E207A"/>
        </w:tc>
        <w:tc>
          <w:tcPr>
            <w:tcW w:w="3117" w:type="dxa"/>
            <w:gridSpan w:val="3"/>
          </w:tcPr>
          <w:p w14:paraId="2EB01580" w14:textId="77777777" w:rsidR="006E207A" w:rsidRDefault="006E207A"/>
        </w:tc>
        <w:tc>
          <w:tcPr>
            <w:tcW w:w="3824" w:type="dxa"/>
            <w:gridSpan w:val="2"/>
          </w:tcPr>
          <w:p w14:paraId="34359363" w14:textId="77777777" w:rsidR="006E207A" w:rsidRDefault="006E207A">
            <w:pPr>
              <w:rPr>
                <w:b/>
              </w:rPr>
            </w:pPr>
          </w:p>
        </w:tc>
      </w:tr>
      <w:tr w:rsidR="006E207A" w14:paraId="6E7D0AF5" w14:textId="77777777" w:rsidTr="006E207A">
        <w:tc>
          <w:tcPr>
            <w:tcW w:w="3681" w:type="dxa"/>
            <w:gridSpan w:val="3"/>
            <w:tcBorders>
              <w:top w:val="nil"/>
              <w:left w:val="nil"/>
              <w:bottom w:val="single" w:sz="4" w:space="0" w:color="auto"/>
              <w:right w:val="single" w:sz="4" w:space="0" w:color="auto"/>
            </w:tcBorders>
            <w:hideMark/>
          </w:tcPr>
          <w:p w14:paraId="464D8B38" w14:textId="77777777" w:rsidR="006E207A" w:rsidRDefault="006E207A">
            <w:r>
              <w:t>Name</w:t>
            </w:r>
          </w:p>
        </w:tc>
        <w:tc>
          <w:tcPr>
            <w:tcW w:w="4111" w:type="dxa"/>
            <w:gridSpan w:val="3"/>
            <w:tcBorders>
              <w:top w:val="nil"/>
              <w:left w:val="single" w:sz="4" w:space="0" w:color="auto"/>
              <w:bottom w:val="single" w:sz="4" w:space="0" w:color="auto"/>
              <w:right w:val="single" w:sz="4" w:space="0" w:color="auto"/>
            </w:tcBorders>
            <w:hideMark/>
          </w:tcPr>
          <w:p w14:paraId="27E2B6E4" w14:textId="77777777" w:rsidR="006E207A" w:rsidRDefault="006E207A">
            <w:r>
              <w:t>Profession</w:t>
            </w:r>
          </w:p>
        </w:tc>
        <w:tc>
          <w:tcPr>
            <w:tcW w:w="1417" w:type="dxa"/>
            <w:tcBorders>
              <w:top w:val="nil"/>
              <w:left w:val="single" w:sz="4" w:space="0" w:color="auto"/>
              <w:bottom w:val="single" w:sz="4" w:space="0" w:color="auto"/>
              <w:right w:val="nil"/>
            </w:tcBorders>
            <w:hideMark/>
          </w:tcPr>
          <w:p w14:paraId="3F8F109C" w14:textId="77777777" w:rsidR="006E207A" w:rsidRDefault="006E207A">
            <w:r>
              <w:t>Tel.</w:t>
            </w:r>
          </w:p>
        </w:tc>
      </w:tr>
      <w:tr w:rsidR="006E207A" w14:paraId="2549A4DD" w14:textId="77777777" w:rsidTr="006E207A">
        <w:tc>
          <w:tcPr>
            <w:tcW w:w="3681" w:type="dxa"/>
            <w:gridSpan w:val="3"/>
            <w:tcBorders>
              <w:top w:val="single" w:sz="4" w:space="0" w:color="auto"/>
              <w:left w:val="nil"/>
              <w:bottom w:val="single" w:sz="4" w:space="0" w:color="auto"/>
              <w:right w:val="single" w:sz="4" w:space="0" w:color="auto"/>
            </w:tcBorders>
          </w:tcPr>
          <w:p w14:paraId="4E1A547C" w14:textId="77777777" w:rsidR="006E207A" w:rsidRDefault="006E207A"/>
        </w:tc>
        <w:tc>
          <w:tcPr>
            <w:tcW w:w="4111" w:type="dxa"/>
            <w:gridSpan w:val="3"/>
            <w:tcBorders>
              <w:top w:val="single" w:sz="4" w:space="0" w:color="auto"/>
              <w:left w:val="single" w:sz="4" w:space="0" w:color="auto"/>
              <w:bottom w:val="single" w:sz="4" w:space="0" w:color="auto"/>
              <w:right w:val="single" w:sz="4" w:space="0" w:color="auto"/>
            </w:tcBorders>
          </w:tcPr>
          <w:p w14:paraId="63280012" w14:textId="77777777" w:rsidR="006E207A" w:rsidRDefault="006E207A"/>
        </w:tc>
        <w:tc>
          <w:tcPr>
            <w:tcW w:w="1417" w:type="dxa"/>
            <w:tcBorders>
              <w:top w:val="single" w:sz="4" w:space="0" w:color="auto"/>
              <w:left w:val="single" w:sz="4" w:space="0" w:color="auto"/>
              <w:bottom w:val="single" w:sz="4" w:space="0" w:color="auto"/>
              <w:right w:val="nil"/>
            </w:tcBorders>
          </w:tcPr>
          <w:p w14:paraId="1097A961" w14:textId="77777777" w:rsidR="006E207A" w:rsidRDefault="006E207A"/>
        </w:tc>
      </w:tr>
      <w:tr w:rsidR="006E207A" w14:paraId="02454B9A" w14:textId="77777777" w:rsidTr="006E207A">
        <w:trPr>
          <w:trHeight w:val="340"/>
        </w:trPr>
        <w:tc>
          <w:tcPr>
            <w:tcW w:w="3681" w:type="dxa"/>
            <w:gridSpan w:val="3"/>
            <w:tcBorders>
              <w:top w:val="single" w:sz="4" w:space="0" w:color="auto"/>
              <w:left w:val="nil"/>
              <w:bottom w:val="single" w:sz="4" w:space="0" w:color="auto"/>
              <w:right w:val="single" w:sz="4" w:space="0" w:color="auto"/>
            </w:tcBorders>
          </w:tcPr>
          <w:p w14:paraId="154675B9" w14:textId="77777777" w:rsidR="006E207A" w:rsidRDefault="006E207A"/>
        </w:tc>
        <w:tc>
          <w:tcPr>
            <w:tcW w:w="4111" w:type="dxa"/>
            <w:gridSpan w:val="3"/>
            <w:tcBorders>
              <w:top w:val="single" w:sz="4" w:space="0" w:color="auto"/>
              <w:left w:val="single" w:sz="4" w:space="0" w:color="auto"/>
              <w:bottom w:val="single" w:sz="4" w:space="0" w:color="auto"/>
              <w:right w:val="single" w:sz="4" w:space="0" w:color="auto"/>
            </w:tcBorders>
          </w:tcPr>
          <w:p w14:paraId="4B1EFFF7" w14:textId="77777777" w:rsidR="006E207A" w:rsidRDefault="006E207A"/>
        </w:tc>
        <w:tc>
          <w:tcPr>
            <w:tcW w:w="1417" w:type="dxa"/>
            <w:tcBorders>
              <w:top w:val="single" w:sz="4" w:space="0" w:color="auto"/>
              <w:left w:val="single" w:sz="4" w:space="0" w:color="auto"/>
              <w:bottom w:val="single" w:sz="4" w:space="0" w:color="auto"/>
              <w:right w:val="nil"/>
            </w:tcBorders>
          </w:tcPr>
          <w:p w14:paraId="7F4E84B0" w14:textId="77777777" w:rsidR="006E207A" w:rsidRDefault="006E207A"/>
        </w:tc>
      </w:tr>
      <w:tr w:rsidR="006E207A" w14:paraId="69675C85" w14:textId="77777777" w:rsidTr="006E207A">
        <w:trPr>
          <w:trHeight w:val="340"/>
        </w:trPr>
        <w:tc>
          <w:tcPr>
            <w:tcW w:w="3681" w:type="dxa"/>
            <w:gridSpan w:val="3"/>
            <w:tcBorders>
              <w:top w:val="single" w:sz="4" w:space="0" w:color="auto"/>
              <w:left w:val="nil"/>
              <w:bottom w:val="single" w:sz="4" w:space="0" w:color="auto"/>
              <w:right w:val="single" w:sz="4" w:space="0" w:color="auto"/>
            </w:tcBorders>
          </w:tcPr>
          <w:p w14:paraId="37720992" w14:textId="77777777" w:rsidR="006E207A" w:rsidRDefault="006E207A"/>
        </w:tc>
        <w:tc>
          <w:tcPr>
            <w:tcW w:w="4111" w:type="dxa"/>
            <w:gridSpan w:val="3"/>
            <w:tcBorders>
              <w:top w:val="single" w:sz="4" w:space="0" w:color="auto"/>
              <w:left w:val="single" w:sz="4" w:space="0" w:color="auto"/>
              <w:bottom w:val="single" w:sz="4" w:space="0" w:color="auto"/>
              <w:right w:val="single" w:sz="4" w:space="0" w:color="auto"/>
            </w:tcBorders>
          </w:tcPr>
          <w:p w14:paraId="2CE5E97A" w14:textId="77777777" w:rsidR="006E207A" w:rsidRDefault="006E207A"/>
        </w:tc>
        <w:tc>
          <w:tcPr>
            <w:tcW w:w="1417" w:type="dxa"/>
            <w:tcBorders>
              <w:top w:val="single" w:sz="4" w:space="0" w:color="auto"/>
              <w:left w:val="single" w:sz="4" w:space="0" w:color="auto"/>
              <w:bottom w:val="single" w:sz="4" w:space="0" w:color="auto"/>
              <w:right w:val="nil"/>
            </w:tcBorders>
          </w:tcPr>
          <w:p w14:paraId="0B3ACA16" w14:textId="77777777" w:rsidR="006E207A" w:rsidRDefault="006E207A"/>
        </w:tc>
      </w:tr>
      <w:tr w:rsidR="006E207A" w14:paraId="3B7AA350" w14:textId="77777777" w:rsidTr="006E207A">
        <w:trPr>
          <w:trHeight w:val="340"/>
        </w:trPr>
        <w:tc>
          <w:tcPr>
            <w:tcW w:w="3681" w:type="dxa"/>
            <w:gridSpan w:val="3"/>
            <w:tcBorders>
              <w:top w:val="single" w:sz="4" w:space="0" w:color="auto"/>
              <w:left w:val="nil"/>
              <w:bottom w:val="single" w:sz="4" w:space="0" w:color="auto"/>
              <w:right w:val="single" w:sz="4" w:space="0" w:color="auto"/>
            </w:tcBorders>
          </w:tcPr>
          <w:p w14:paraId="3D5552CD" w14:textId="77777777" w:rsidR="006E207A" w:rsidRDefault="006E207A"/>
        </w:tc>
        <w:tc>
          <w:tcPr>
            <w:tcW w:w="4111" w:type="dxa"/>
            <w:gridSpan w:val="3"/>
            <w:tcBorders>
              <w:top w:val="single" w:sz="4" w:space="0" w:color="auto"/>
              <w:left w:val="single" w:sz="4" w:space="0" w:color="auto"/>
              <w:bottom w:val="single" w:sz="4" w:space="0" w:color="auto"/>
              <w:right w:val="single" w:sz="4" w:space="0" w:color="auto"/>
            </w:tcBorders>
          </w:tcPr>
          <w:p w14:paraId="0D565F50" w14:textId="77777777" w:rsidR="006E207A" w:rsidRDefault="006E207A"/>
        </w:tc>
        <w:tc>
          <w:tcPr>
            <w:tcW w:w="1417" w:type="dxa"/>
            <w:tcBorders>
              <w:top w:val="single" w:sz="4" w:space="0" w:color="auto"/>
              <w:left w:val="single" w:sz="4" w:space="0" w:color="auto"/>
              <w:bottom w:val="single" w:sz="4" w:space="0" w:color="auto"/>
              <w:right w:val="nil"/>
            </w:tcBorders>
          </w:tcPr>
          <w:p w14:paraId="45933590" w14:textId="77777777" w:rsidR="006E207A" w:rsidRDefault="006E207A"/>
        </w:tc>
      </w:tr>
      <w:tr w:rsidR="006E207A" w14:paraId="1513F22F" w14:textId="77777777" w:rsidTr="006E207A">
        <w:trPr>
          <w:trHeight w:val="340"/>
        </w:trPr>
        <w:tc>
          <w:tcPr>
            <w:tcW w:w="3681" w:type="dxa"/>
            <w:gridSpan w:val="3"/>
            <w:tcBorders>
              <w:top w:val="single" w:sz="4" w:space="0" w:color="auto"/>
              <w:left w:val="nil"/>
              <w:bottom w:val="nil"/>
              <w:right w:val="single" w:sz="4" w:space="0" w:color="auto"/>
            </w:tcBorders>
          </w:tcPr>
          <w:p w14:paraId="6AD81145" w14:textId="77777777" w:rsidR="006E207A" w:rsidRDefault="006E207A"/>
        </w:tc>
        <w:tc>
          <w:tcPr>
            <w:tcW w:w="4111" w:type="dxa"/>
            <w:gridSpan w:val="3"/>
            <w:tcBorders>
              <w:top w:val="single" w:sz="4" w:space="0" w:color="auto"/>
              <w:left w:val="single" w:sz="4" w:space="0" w:color="auto"/>
              <w:bottom w:val="nil"/>
              <w:right w:val="single" w:sz="4" w:space="0" w:color="auto"/>
            </w:tcBorders>
          </w:tcPr>
          <w:p w14:paraId="7E1B82C4" w14:textId="77777777" w:rsidR="006E207A" w:rsidRDefault="006E207A"/>
        </w:tc>
        <w:tc>
          <w:tcPr>
            <w:tcW w:w="1417" w:type="dxa"/>
            <w:tcBorders>
              <w:top w:val="single" w:sz="4" w:space="0" w:color="auto"/>
              <w:left w:val="single" w:sz="4" w:space="0" w:color="auto"/>
              <w:bottom w:val="nil"/>
              <w:right w:val="nil"/>
            </w:tcBorders>
          </w:tcPr>
          <w:p w14:paraId="00749F67" w14:textId="77777777" w:rsidR="006E207A" w:rsidRDefault="006E207A"/>
        </w:tc>
      </w:tr>
      <w:tr w:rsidR="006E207A" w14:paraId="38171001" w14:textId="77777777" w:rsidTr="006E207A">
        <w:tc>
          <w:tcPr>
            <w:tcW w:w="1843" w:type="dxa"/>
            <w:hideMark/>
          </w:tcPr>
          <w:p w14:paraId="5AB00567" w14:textId="0EECC7B5" w:rsidR="006E207A" w:rsidRDefault="006E207A">
            <w:pPr>
              <w:rPr>
                <w:b/>
              </w:rPr>
            </w:pPr>
            <w:r>
              <w:rPr>
                <w:b/>
              </w:rPr>
              <w:t>Arbeitsbereich der KSG</w:t>
            </w:r>
          </w:p>
        </w:tc>
        <w:tc>
          <w:tcPr>
            <w:tcW w:w="7366" w:type="dxa"/>
            <w:gridSpan w:val="6"/>
          </w:tcPr>
          <w:p w14:paraId="2DCC2174" w14:textId="77777777" w:rsidR="006E207A" w:rsidRDefault="006E207A">
            <w:r>
              <w:t xml:space="preserve">Die KSG arbeitet fachübergreifend im gesamten Haus. </w:t>
            </w:r>
          </w:p>
          <w:p w14:paraId="0B2C1B3D" w14:textId="77777777" w:rsidR="006E207A" w:rsidRDefault="006E207A"/>
          <w:p w14:paraId="361D9A33" w14:textId="4CCB6844" w:rsidR="006E207A" w:rsidRDefault="006E207A">
            <w:r>
              <w:t xml:space="preserve">Kinderschutz beinhaltet auch einen großen </w:t>
            </w:r>
            <w:r>
              <w:rPr>
                <w:b/>
              </w:rPr>
              <w:t>Präventiv</w:t>
            </w:r>
            <w:r>
              <w:t xml:space="preserve">aspekt. Das heißt, nicht nur Kinder, die schon misshandelt oder vernachlässigt wurden, sondern auch Kinder, bei denen sich </w:t>
            </w:r>
            <w:r>
              <w:rPr>
                <w:b/>
              </w:rPr>
              <w:t>Anhaltspunkte für einen erweiterten Unterstützungsbedarf</w:t>
            </w:r>
            <w:r>
              <w:t xml:space="preserve"> ergeben, werden von der KSG betreut.</w:t>
            </w:r>
          </w:p>
          <w:p w14:paraId="28B1625B" w14:textId="77777777" w:rsidR="006E207A" w:rsidRDefault="006E207A"/>
        </w:tc>
      </w:tr>
      <w:tr w:rsidR="006E207A" w14:paraId="41C1F5E0" w14:textId="77777777" w:rsidTr="006E207A">
        <w:tc>
          <w:tcPr>
            <w:tcW w:w="1843" w:type="dxa"/>
            <w:hideMark/>
          </w:tcPr>
          <w:p w14:paraId="67CDD31F" w14:textId="77777777" w:rsidR="006E207A" w:rsidRDefault="006E207A">
            <w:pPr>
              <w:rPr>
                <w:b/>
              </w:rPr>
            </w:pPr>
            <w:r>
              <w:rPr>
                <w:b/>
              </w:rPr>
              <w:t>Es gilt</w:t>
            </w:r>
          </w:p>
        </w:tc>
        <w:tc>
          <w:tcPr>
            <w:tcW w:w="7366" w:type="dxa"/>
            <w:gridSpan w:val="6"/>
          </w:tcPr>
          <w:p w14:paraId="5E294784" w14:textId="77777777" w:rsidR="006E207A" w:rsidRDefault="006E207A">
            <w:r>
              <w:t xml:space="preserve">Bei Unsicherheiten gerne bei einem Mitglied der KSG nachfragen und den Fall schildern. Gemeinsam können wir dann entscheiden, welcher nächste Schritt sinnvoll ist. </w:t>
            </w:r>
          </w:p>
          <w:p w14:paraId="70A98B6F" w14:textId="77777777" w:rsidR="006E207A" w:rsidRDefault="006E207A">
            <w:r>
              <w:t>Der psychosoziale Dienst wird bei folgenden Fragestellungen informiert: psychosoziale Beratung, Krisenintervention, Schulprobleme, Beratung bei Behinderung, Anschlussversorgung, Jugendliche mit Substanzmissbrauch.</w:t>
            </w:r>
          </w:p>
          <w:p w14:paraId="33572486" w14:textId="77777777" w:rsidR="006E207A" w:rsidRDefault="006E207A"/>
          <w:p w14:paraId="5ABAF65E" w14:textId="122B312C" w:rsidR="006E207A" w:rsidRDefault="006E207A">
            <w:r>
              <w:t xml:space="preserve">Ab dem Zeitpunkt der </w:t>
            </w:r>
            <w:proofErr w:type="spellStart"/>
            <w:r>
              <w:rPr>
                <w:b/>
              </w:rPr>
              <w:t>Konsil</w:t>
            </w:r>
            <w:r>
              <w:t>stellung</w:t>
            </w:r>
            <w:proofErr w:type="spellEnd"/>
            <w:r>
              <w:t xml:space="preserve"> darf eine Entlassung nur nach Rücksprache mit der KSG erfolgen. Die Diagnostik ist entsprechend der Kinderschutz S3+Leitlinie, ggf. in Absprache mit den Kinderschutzärzten und nach pädiatrischem</w:t>
            </w:r>
            <w:r>
              <w:rPr>
                <w:color w:val="000000" w:themeColor="text1"/>
              </w:rPr>
              <w:t xml:space="preserve">/kinderchirurgischen </w:t>
            </w:r>
            <w:r>
              <w:t>Standard abhängig vom Verdacht der Grunderkrankung vom Stationsarzt durchzuführen.</w:t>
            </w:r>
          </w:p>
          <w:p w14:paraId="518A4D3D" w14:textId="77777777" w:rsidR="006E207A" w:rsidRDefault="006E207A"/>
        </w:tc>
      </w:tr>
      <w:tr w:rsidR="006E207A" w:rsidRPr="006E207A" w14:paraId="52E8F9D5" w14:textId="77777777" w:rsidTr="006E207A">
        <w:tc>
          <w:tcPr>
            <w:tcW w:w="1843" w:type="dxa"/>
            <w:hideMark/>
          </w:tcPr>
          <w:p w14:paraId="49026E9D" w14:textId="77777777" w:rsidR="006E207A" w:rsidRPr="006E207A" w:rsidRDefault="006E207A">
            <w:pPr>
              <w:rPr>
                <w:rFonts w:cstheme="minorHAnsi"/>
                <w:b/>
              </w:rPr>
            </w:pPr>
            <w:r w:rsidRPr="006E207A">
              <w:rPr>
                <w:rFonts w:cstheme="minorHAnsi"/>
                <w:b/>
              </w:rPr>
              <w:t>Vorgehen</w:t>
            </w:r>
          </w:p>
        </w:tc>
        <w:tc>
          <w:tcPr>
            <w:tcW w:w="7366" w:type="dxa"/>
            <w:gridSpan w:val="6"/>
            <w:hideMark/>
          </w:tcPr>
          <w:p w14:paraId="7D5A4783" w14:textId="77777777"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Die medizinische Behandlung erfolgt durch den Stationsarzt und die Abteilung, in der das Kind liegt, d. h. also: ein Kind mit Hämatomen auf Station 1 wird vom Stationsarzt der Station 1 betreut. Die KSG kommt konsiliarisch dazu, sie bespricht die aus kinderschutzmedizinischer Sicht nötige zusätzliche Diagnostik, deren Ausführung und Dokumentation in der Verantwortung des Stationsarztes liegt. </w:t>
            </w:r>
          </w:p>
          <w:p w14:paraId="0B765B90" w14:textId="40EE5C6D"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Die KSG legt das weitere Procedere, insbesondere auch über Wochenenden und Feiertage fest </w:t>
            </w:r>
            <w:r w:rsidRPr="006E207A">
              <w:rPr>
                <w:rFonts w:asciiTheme="minorHAnsi" w:hAnsiTheme="minorHAnsi" w:cstheme="minorHAnsi"/>
                <w:color w:val="000000" w:themeColor="text1"/>
                <w:sz w:val="22"/>
                <w:szCs w:val="22"/>
                <w:lang w:eastAsia="en-US"/>
              </w:rPr>
              <w:t>(siehe Begleitdok</w:t>
            </w:r>
            <w:r w:rsidR="00D55785">
              <w:rPr>
                <w:rFonts w:asciiTheme="minorHAnsi" w:hAnsiTheme="minorHAnsi" w:cstheme="minorHAnsi"/>
                <w:color w:val="000000" w:themeColor="text1"/>
                <w:sz w:val="22"/>
                <w:szCs w:val="22"/>
                <w:lang w:eastAsia="en-US"/>
              </w:rPr>
              <w:t xml:space="preserve">umentation und insbesondere die Dokumentation im </w:t>
            </w:r>
            <w:r w:rsidRPr="006E207A">
              <w:rPr>
                <w:rFonts w:asciiTheme="minorHAnsi" w:hAnsiTheme="minorHAnsi" w:cstheme="minorHAnsi"/>
                <w:color w:val="000000" w:themeColor="text1"/>
                <w:sz w:val="22"/>
                <w:szCs w:val="22"/>
                <w:lang w:eastAsia="en-US"/>
              </w:rPr>
              <w:t xml:space="preserve">Krankenhausinformationssystem). Es </w:t>
            </w:r>
            <w:r w:rsidRPr="006E207A">
              <w:rPr>
                <w:rFonts w:asciiTheme="minorHAnsi" w:hAnsiTheme="minorHAnsi" w:cstheme="minorHAnsi"/>
                <w:sz w:val="22"/>
                <w:szCs w:val="22"/>
                <w:lang w:eastAsia="en-US"/>
              </w:rPr>
              <w:t xml:space="preserve">ist kaum möglich jegliche Eventualität hierbei zu berücksichtigen, weshalb bei geänderten </w:t>
            </w:r>
            <w:r w:rsidRPr="006E207A">
              <w:rPr>
                <w:rFonts w:asciiTheme="minorHAnsi" w:hAnsiTheme="minorHAnsi" w:cstheme="minorHAnsi"/>
                <w:sz w:val="22"/>
                <w:szCs w:val="22"/>
                <w:lang w:eastAsia="en-US"/>
              </w:rPr>
              <w:lastRenderedPageBreak/>
              <w:t xml:space="preserve">Situationen der jeweilige Oberarzt/Hintergrund eine Entscheidung treffen muss. </w:t>
            </w:r>
          </w:p>
          <w:p w14:paraId="56A3573D" w14:textId="135C9179"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Die Fallverantwortung für die gesamte medizinische Diagnostik einschließlich der kinderschutzmedizinischen Diagnostik liegt bei dem behandelnden Stationsarzt/zuständigen Oberarzt/Chefarzt. Die kinderschutzmedizinische Diagnostik wird im Rahmen des </w:t>
            </w:r>
            <w:proofErr w:type="spellStart"/>
            <w:r w:rsidRPr="006E207A">
              <w:rPr>
                <w:rFonts w:asciiTheme="minorHAnsi" w:hAnsiTheme="minorHAnsi" w:cstheme="minorHAnsi"/>
                <w:sz w:val="22"/>
                <w:szCs w:val="22"/>
                <w:lang w:eastAsia="en-US"/>
              </w:rPr>
              <w:t>Kinderschutzgruppenkonsils</w:t>
            </w:r>
            <w:proofErr w:type="spellEnd"/>
            <w:r w:rsidRPr="006E207A">
              <w:rPr>
                <w:rFonts w:asciiTheme="minorHAnsi" w:hAnsiTheme="minorHAnsi" w:cstheme="minorHAnsi"/>
                <w:sz w:val="22"/>
                <w:szCs w:val="22"/>
                <w:lang w:eastAsia="en-US"/>
              </w:rPr>
              <w:t xml:space="preserve"> empfohlen. Ein Patient kann erst entlasse</w:t>
            </w:r>
            <w:r w:rsidR="00D55785">
              <w:rPr>
                <w:rFonts w:asciiTheme="minorHAnsi" w:hAnsiTheme="minorHAnsi" w:cstheme="minorHAnsi"/>
                <w:sz w:val="22"/>
                <w:szCs w:val="22"/>
                <w:lang w:eastAsia="en-US"/>
              </w:rPr>
              <w:t>n</w:t>
            </w:r>
            <w:r w:rsidRPr="006E207A">
              <w:rPr>
                <w:rFonts w:asciiTheme="minorHAnsi" w:hAnsiTheme="minorHAnsi" w:cstheme="minorHAnsi"/>
                <w:sz w:val="22"/>
                <w:szCs w:val="22"/>
                <w:lang w:eastAsia="en-US"/>
              </w:rPr>
              <w:t xml:space="preserve"> werden, wenn sowohl die behandelnden Ärzte UND auch die Kinderschutzgruppe die Freigabe hierzu erteilen. </w:t>
            </w:r>
          </w:p>
          <w:p w14:paraId="53569447" w14:textId="77777777"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Notaufnahme: Die Kinder werden vorrangig von der dem Krankheitsbild entsprechenden Fachabteilung untersucht (V. a. Fraktur: Kinderchirurgie, Abklärung Dystrophie: Pädiatrie). Kinder, die mit unklarerer Diagnose (z. B. Meldung häusliche Gewalt) geschickt werden, werden vorrangig vom </w:t>
            </w:r>
            <w:r w:rsidRPr="006E207A">
              <w:rPr>
                <w:rFonts w:asciiTheme="minorHAnsi" w:hAnsiTheme="minorHAnsi" w:cstheme="minorHAnsi"/>
                <w:color w:val="000000" w:themeColor="text1"/>
                <w:sz w:val="22"/>
                <w:szCs w:val="22"/>
                <w:lang w:eastAsia="en-US"/>
              </w:rPr>
              <w:t xml:space="preserve">pädiatrischen/kinderchirurgischen </w:t>
            </w:r>
            <w:r w:rsidRPr="006E207A">
              <w:rPr>
                <w:rFonts w:asciiTheme="minorHAnsi" w:hAnsiTheme="minorHAnsi" w:cstheme="minorHAnsi"/>
                <w:sz w:val="22"/>
                <w:szCs w:val="22"/>
                <w:lang w:eastAsia="en-US"/>
              </w:rPr>
              <w:t>Aufnahmearzt (hausinterne Regelung) gesehen.</w:t>
            </w:r>
          </w:p>
          <w:p w14:paraId="3B834ED2" w14:textId="77777777" w:rsidR="006E207A" w:rsidRPr="006E207A" w:rsidRDefault="006E207A" w:rsidP="00057340">
            <w:pPr>
              <w:pStyle w:val="Listenabsatz"/>
              <w:numPr>
                <w:ilvl w:val="0"/>
                <w:numId w:val="1"/>
              </w:numPr>
              <w:ind w:left="360"/>
              <w:jc w:val="both"/>
              <w:rPr>
                <w:rFonts w:asciiTheme="minorHAnsi" w:hAnsiTheme="minorHAnsi" w:cstheme="minorHAnsi"/>
                <w:color w:val="000000" w:themeColor="text1"/>
                <w:sz w:val="22"/>
                <w:szCs w:val="22"/>
                <w:lang w:eastAsia="en-US"/>
              </w:rPr>
            </w:pPr>
            <w:r w:rsidRPr="006E207A">
              <w:rPr>
                <w:rFonts w:asciiTheme="minorHAnsi" w:hAnsiTheme="minorHAnsi" w:cstheme="minorHAnsi"/>
                <w:color w:val="000000" w:themeColor="text1"/>
                <w:sz w:val="22"/>
                <w:szCs w:val="22"/>
                <w:lang w:eastAsia="en-US"/>
              </w:rPr>
              <w:t xml:space="preserve">Die Kinder werden je nach verfügbaren Betten möglichst auf die dem Krankheitsbild entsprechende Station aufgenommen. </w:t>
            </w:r>
          </w:p>
          <w:p w14:paraId="37739EC3" w14:textId="77777777" w:rsidR="006E207A" w:rsidRPr="006E207A" w:rsidRDefault="006E207A" w:rsidP="00057340">
            <w:pPr>
              <w:pStyle w:val="Listenabsatz"/>
              <w:numPr>
                <w:ilvl w:val="0"/>
                <w:numId w:val="1"/>
              </w:numPr>
              <w:ind w:left="360"/>
              <w:jc w:val="both"/>
              <w:rPr>
                <w:rFonts w:asciiTheme="minorHAnsi" w:hAnsiTheme="minorHAnsi" w:cstheme="minorHAnsi"/>
                <w:color w:val="000000" w:themeColor="text1"/>
                <w:sz w:val="22"/>
                <w:szCs w:val="22"/>
                <w:lang w:eastAsia="en-US"/>
              </w:rPr>
            </w:pPr>
            <w:r w:rsidRPr="006E207A">
              <w:rPr>
                <w:rFonts w:asciiTheme="minorHAnsi" w:hAnsiTheme="minorHAnsi" w:cstheme="minorHAnsi"/>
                <w:color w:val="000000" w:themeColor="text1"/>
                <w:sz w:val="22"/>
                <w:szCs w:val="22"/>
                <w:lang w:eastAsia="en-US"/>
              </w:rPr>
              <w:t>Geplant aufzunehmende Kinder werden durch die KSG nach Absprache mit der Stationsleitung (ggf. andere hausinterne Regelung) schriftlich auf den Stationen angemeldet. Diese Informationen sind von der Station an den jeweils zuständigen Stationsarzt weiterzuleiten.</w:t>
            </w:r>
          </w:p>
          <w:p w14:paraId="699E7BD3" w14:textId="31FD1DF5"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Die Dokumentationsunterlagen </w:t>
            </w:r>
            <w:r w:rsidR="00D55785">
              <w:rPr>
                <w:rFonts w:asciiTheme="minorHAnsi" w:hAnsiTheme="minorHAnsi" w:cstheme="minorHAnsi"/>
                <w:sz w:val="22"/>
                <w:szCs w:val="22"/>
                <w:lang w:eastAsia="en-US"/>
              </w:rPr>
              <w:t xml:space="preserve">der KSG </w:t>
            </w:r>
            <w:r w:rsidRPr="006E207A">
              <w:rPr>
                <w:rFonts w:asciiTheme="minorHAnsi" w:hAnsiTheme="minorHAnsi" w:cstheme="minorHAnsi"/>
                <w:sz w:val="22"/>
                <w:szCs w:val="22"/>
                <w:lang w:eastAsia="en-US"/>
              </w:rPr>
              <w:t>sind an die Stationskurve angeheftet. Jede Maßnahme, die die Abklärung Kindeswohlgefährdung betrifft, ist darin zu dokumentieren. Um die Komplexdiagnostik abrechnen zu können sind Anfangs- und Endzeiten der Untersuchungen/</w:t>
            </w:r>
            <w:r w:rsidR="00D55785">
              <w:rPr>
                <w:rFonts w:asciiTheme="minorHAnsi" w:hAnsiTheme="minorHAnsi" w:cstheme="minorHAnsi"/>
                <w:sz w:val="22"/>
                <w:szCs w:val="22"/>
                <w:lang w:eastAsia="en-US"/>
              </w:rPr>
              <w:t xml:space="preserve"> </w:t>
            </w:r>
            <w:r w:rsidRPr="006E207A">
              <w:rPr>
                <w:rFonts w:asciiTheme="minorHAnsi" w:hAnsiTheme="minorHAnsi" w:cstheme="minorHAnsi"/>
                <w:sz w:val="22"/>
                <w:szCs w:val="22"/>
                <w:lang w:eastAsia="en-US"/>
              </w:rPr>
              <w:t>Gespräche/Beobachtungen in der Kurve zu notieren.</w:t>
            </w:r>
          </w:p>
          <w:p w14:paraId="00013775" w14:textId="77777777"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Die KSG dokumentiert Befunde und Procedere jederzeit nachlesbar </w:t>
            </w:r>
            <w:r w:rsidRPr="006E207A">
              <w:rPr>
                <w:rFonts w:asciiTheme="minorHAnsi" w:hAnsiTheme="minorHAnsi" w:cstheme="minorHAnsi"/>
                <w:color w:val="000000" w:themeColor="text1"/>
                <w:sz w:val="22"/>
                <w:szCs w:val="22"/>
                <w:lang w:eastAsia="en-US"/>
              </w:rPr>
              <w:t xml:space="preserve">im </w:t>
            </w:r>
            <w:proofErr w:type="spellStart"/>
            <w:r w:rsidRPr="006E207A">
              <w:rPr>
                <w:rFonts w:asciiTheme="minorHAnsi" w:hAnsiTheme="minorHAnsi" w:cstheme="minorHAnsi"/>
                <w:color w:val="000000" w:themeColor="text1"/>
                <w:sz w:val="22"/>
                <w:szCs w:val="22"/>
                <w:lang w:eastAsia="en-US"/>
              </w:rPr>
              <w:t>Konsil</w:t>
            </w:r>
            <w:proofErr w:type="spellEnd"/>
            <w:r w:rsidRPr="006E207A">
              <w:rPr>
                <w:rFonts w:asciiTheme="minorHAnsi" w:hAnsiTheme="minorHAnsi" w:cstheme="minorHAnsi"/>
                <w:color w:val="000000" w:themeColor="text1"/>
                <w:sz w:val="22"/>
                <w:szCs w:val="22"/>
                <w:lang w:eastAsia="en-US"/>
              </w:rPr>
              <w:t>/Krankenhausinformationssystem.</w:t>
            </w:r>
          </w:p>
          <w:p w14:paraId="49B922E6" w14:textId="07A00327"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Der Kontakt zum JA oder anderen </w:t>
            </w:r>
            <w:r w:rsidR="00D55785">
              <w:rPr>
                <w:rFonts w:asciiTheme="minorHAnsi" w:hAnsiTheme="minorHAnsi" w:cstheme="minorHAnsi"/>
                <w:sz w:val="22"/>
                <w:szCs w:val="22"/>
                <w:lang w:eastAsia="en-US"/>
              </w:rPr>
              <w:t>externen Organisationen</w:t>
            </w:r>
            <w:r w:rsidRPr="006E207A">
              <w:rPr>
                <w:rFonts w:asciiTheme="minorHAnsi" w:hAnsiTheme="minorHAnsi" w:cstheme="minorHAnsi"/>
                <w:sz w:val="22"/>
                <w:szCs w:val="22"/>
                <w:lang w:eastAsia="en-US"/>
              </w:rPr>
              <w:t xml:space="preserve"> erfolgt über die KSG.</w:t>
            </w:r>
          </w:p>
          <w:p w14:paraId="5E7CAF84" w14:textId="77777777" w:rsidR="006E207A" w:rsidRPr="006E207A" w:rsidRDefault="006E207A" w:rsidP="00057340">
            <w:pPr>
              <w:pStyle w:val="Listenabsatz"/>
              <w:numPr>
                <w:ilvl w:val="0"/>
                <w:numId w:val="1"/>
              </w:numPr>
              <w:ind w:left="360"/>
              <w:jc w:val="both"/>
              <w:rPr>
                <w:rFonts w:asciiTheme="minorHAnsi" w:hAnsiTheme="minorHAnsi" w:cstheme="minorHAnsi"/>
                <w:sz w:val="22"/>
                <w:szCs w:val="22"/>
                <w:lang w:eastAsia="en-US"/>
              </w:rPr>
            </w:pPr>
            <w:r w:rsidRPr="006E207A">
              <w:rPr>
                <w:rFonts w:asciiTheme="minorHAnsi" w:hAnsiTheme="minorHAnsi" w:cstheme="minorHAnsi"/>
                <w:sz w:val="22"/>
                <w:szCs w:val="22"/>
                <w:lang w:eastAsia="en-US"/>
              </w:rPr>
              <w:t xml:space="preserve">Sobald ein </w:t>
            </w:r>
            <w:proofErr w:type="spellStart"/>
            <w:r w:rsidRPr="006E207A">
              <w:rPr>
                <w:rFonts w:asciiTheme="minorHAnsi" w:hAnsiTheme="minorHAnsi" w:cstheme="minorHAnsi"/>
                <w:sz w:val="22"/>
                <w:szCs w:val="22"/>
                <w:lang w:eastAsia="en-US"/>
              </w:rPr>
              <w:t>Konsil</w:t>
            </w:r>
            <w:proofErr w:type="spellEnd"/>
            <w:r w:rsidRPr="006E207A">
              <w:rPr>
                <w:rFonts w:asciiTheme="minorHAnsi" w:hAnsiTheme="minorHAnsi" w:cstheme="minorHAnsi"/>
                <w:sz w:val="22"/>
                <w:szCs w:val="22"/>
                <w:lang w:eastAsia="en-US"/>
              </w:rPr>
              <w:t xml:space="preserve"> gestellt ist, darf die Entlassung nur nach Rücksprache mit dem Arzt der Kinderschutzgruppe erfolgen!</w:t>
            </w:r>
          </w:p>
          <w:p w14:paraId="70663A1C" w14:textId="77777777" w:rsidR="006E207A" w:rsidRPr="006E207A" w:rsidRDefault="006E207A" w:rsidP="00057340">
            <w:pPr>
              <w:pStyle w:val="Listenabsatz"/>
              <w:numPr>
                <w:ilvl w:val="0"/>
                <w:numId w:val="1"/>
              </w:numPr>
              <w:ind w:left="360"/>
              <w:jc w:val="both"/>
              <w:rPr>
                <w:rFonts w:asciiTheme="minorHAnsi" w:hAnsiTheme="minorHAnsi" w:cstheme="minorHAnsi"/>
                <w:color w:val="000000" w:themeColor="text1"/>
                <w:lang w:eastAsia="en-US"/>
              </w:rPr>
            </w:pPr>
            <w:r w:rsidRPr="006E207A">
              <w:rPr>
                <w:rFonts w:asciiTheme="minorHAnsi" w:hAnsiTheme="minorHAnsi" w:cstheme="minorHAnsi"/>
                <w:sz w:val="22"/>
                <w:szCs w:val="22"/>
                <w:lang w:eastAsia="en-US"/>
              </w:rPr>
              <w:t>Für jeden</w:t>
            </w:r>
            <w:r w:rsidRPr="006E207A">
              <w:rPr>
                <w:rFonts w:asciiTheme="minorHAnsi" w:hAnsiTheme="minorHAnsi" w:cstheme="minorHAnsi"/>
                <w:color w:val="C00000"/>
                <w:sz w:val="22"/>
                <w:szCs w:val="22"/>
                <w:lang w:eastAsia="en-US"/>
              </w:rPr>
              <w:t xml:space="preserve"> </w:t>
            </w:r>
            <w:r w:rsidRPr="006E207A">
              <w:rPr>
                <w:rFonts w:asciiTheme="minorHAnsi" w:hAnsiTheme="minorHAnsi" w:cstheme="minorHAnsi"/>
                <w:color w:val="000000" w:themeColor="text1"/>
                <w:sz w:val="22"/>
                <w:szCs w:val="22"/>
                <w:lang w:eastAsia="en-US"/>
              </w:rPr>
              <w:t xml:space="preserve">stationären Kinderschutzfall muss das Formular OPS-Kodierung angelegt und ausgefüllt werden. Sind alle Voraussetzungen klar erfüllt, wird die OPS-Ziffer von den Kodierungsbeauftragten </w:t>
            </w:r>
            <w:proofErr w:type="spellStart"/>
            <w:r w:rsidRPr="006E207A">
              <w:rPr>
                <w:rFonts w:asciiTheme="minorHAnsi" w:hAnsiTheme="minorHAnsi" w:cstheme="minorHAnsi"/>
                <w:color w:val="000000" w:themeColor="text1"/>
                <w:sz w:val="22"/>
                <w:szCs w:val="22"/>
                <w:lang w:eastAsia="en-US"/>
              </w:rPr>
              <w:t>veschlüsselt</w:t>
            </w:r>
            <w:proofErr w:type="spellEnd"/>
            <w:r w:rsidRPr="006E207A">
              <w:rPr>
                <w:rFonts w:asciiTheme="minorHAnsi" w:hAnsiTheme="minorHAnsi" w:cstheme="minorHAnsi"/>
                <w:color w:val="000000" w:themeColor="text1"/>
                <w:sz w:val="22"/>
                <w:szCs w:val="22"/>
                <w:lang w:eastAsia="en-US"/>
              </w:rPr>
              <w:t>. Bei Unklarheiten muss Rücksprache mit der Kinderschutzgruppe gehalten werden.</w:t>
            </w:r>
          </w:p>
          <w:p w14:paraId="01A64BCD" w14:textId="77777777" w:rsidR="00072386" w:rsidRPr="00072386" w:rsidRDefault="006E207A" w:rsidP="00072386">
            <w:pPr>
              <w:pStyle w:val="Listenabsatz"/>
              <w:numPr>
                <w:ilvl w:val="0"/>
                <w:numId w:val="1"/>
              </w:numPr>
              <w:ind w:left="360"/>
              <w:jc w:val="both"/>
              <w:rPr>
                <w:rFonts w:asciiTheme="minorHAnsi" w:hAnsiTheme="minorHAnsi" w:cstheme="minorHAnsi"/>
                <w:color w:val="000000" w:themeColor="text1"/>
                <w:lang w:eastAsia="en-US"/>
              </w:rPr>
            </w:pPr>
            <w:r w:rsidRPr="006E207A">
              <w:rPr>
                <w:rFonts w:asciiTheme="minorHAnsi" w:hAnsiTheme="minorHAnsi" w:cstheme="minorHAnsi"/>
                <w:sz w:val="22"/>
                <w:szCs w:val="22"/>
                <w:lang w:eastAsia="en-US"/>
              </w:rPr>
              <w:t xml:space="preserve">Jeder stationäre Kinderschutzfall wird von der Kinderschutzgruppe mit </w:t>
            </w:r>
            <w:r w:rsidR="00072386">
              <w:rPr>
                <w:rFonts w:asciiTheme="minorHAnsi" w:hAnsiTheme="minorHAnsi" w:cstheme="minorHAnsi"/>
                <w:sz w:val="22"/>
                <w:szCs w:val="22"/>
                <w:lang w:eastAsia="en-US"/>
              </w:rPr>
              <w:t>dem</w:t>
            </w:r>
            <w:r w:rsidRPr="006E207A">
              <w:rPr>
                <w:rFonts w:asciiTheme="minorHAnsi" w:hAnsiTheme="minorHAnsi" w:cstheme="minorHAnsi"/>
                <w:sz w:val="22"/>
                <w:szCs w:val="22"/>
                <w:lang w:eastAsia="en-US"/>
              </w:rPr>
              <w:t xml:space="preserve"> Formular </w:t>
            </w:r>
            <w:r w:rsidR="00072386">
              <w:rPr>
                <w:rFonts w:asciiTheme="minorHAnsi" w:hAnsiTheme="minorHAnsi" w:cstheme="minorHAnsi"/>
                <w:sz w:val="22"/>
                <w:szCs w:val="22"/>
                <w:lang w:eastAsia="en-US"/>
              </w:rPr>
              <w:t xml:space="preserve">„Erfassung der Kinderschutzkennzahlen Klinik“ (wird von der Bayerischen </w:t>
            </w:r>
            <w:proofErr w:type="spellStart"/>
            <w:r w:rsidR="00072386">
              <w:rPr>
                <w:rFonts w:asciiTheme="minorHAnsi" w:hAnsiTheme="minorHAnsi" w:cstheme="minorHAnsi"/>
                <w:sz w:val="22"/>
                <w:szCs w:val="22"/>
                <w:lang w:eastAsia="en-US"/>
              </w:rPr>
              <w:t>Kinderschuztambulanz</w:t>
            </w:r>
            <w:proofErr w:type="spellEnd"/>
            <w:r w:rsidR="00072386">
              <w:rPr>
                <w:rFonts w:asciiTheme="minorHAnsi" w:hAnsiTheme="minorHAnsi" w:cstheme="minorHAnsi"/>
                <w:sz w:val="22"/>
                <w:szCs w:val="22"/>
                <w:lang w:eastAsia="en-US"/>
              </w:rPr>
              <w:t xml:space="preserve"> zur Verfügung gestellt) </w:t>
            </w:r>
            <w:r w:rsidRPr="006E207A">
              <w:rPr>
                <w:rFonts w:asciiTheme="minorHAnsi" w:hAnsiTheme="minorHAnsi" w:cstheme="minorHAnsi"/>
                <w:sz w:val="22"/>
                <w:szCs w:val="22"/>
                <w:lang w:eastAsia="en-US"/>
              </w:rPr>
              <w:t xml:space="preserve">in einer klinikinternen Statistik erfasst. Diese Statistik wird einmal pro Quartal datenschutzkonform </w:t>
            </w:r>
            <w:r w:rsidR="00D55785">
              <w:rPr>
                <w:rFonts w:asciiTheme="minorHAnsi" w:hAnsiTheme="minorHAnsi" w:cstheme="minorHAnsi"/>
                <w:sz w:val="22"/>
                <w:szCs w:val="22"/>
                <w:lang w:eastAsia="en-US"/>
              </w:rPr>
              <w:t>zur bayernweiten</w:t>
            </w:r>
            <w:r w:rsidR="00072386">
              <w:rPr>
                <w:rFonts w:asciiTheme="minorHAnsi" w:hAnsiTheme="minorHAnsi" w:cstheme="minorHAnsi"/>
                <w:sz w:val="22"/>
                <w:szCs w:val="22"/>
                <w:lang w:eastAsia="en-US"/>
              </w:rPr>
              <w:t xml:space="preserve">, </w:t>
            </w:r>
            <w:proofErr w:type="spellStart"/>
            <w:r w:rsidR="00072386">
              <w:rPr>
                <w:rFonts w:asciiTheme="minorHAnsi" w:hAnsiTheme="minorHAnsi" w:cstheme="minorHAnsi"/>
                <w:sz w:val="22"/>
                <w:szCs w:val="22"/>
                <w:lang w:eastAsia="en-US"/>
              </w:rPr>
              <w:t>anonymsierten</w:t>
            </w:r>
            <w:proofErr w:type="spellEnd"/>
            <w:r w:rsidR="00D55785">
              <w:rPr>
                <w:rFonts w:asciiTheme="minorHAnsi" w:hAnsiTheme="minorHAnsi" w:cstheme="minorHAnsi"/>
                <w:sz w:val="22"/>
                <w:szCs w:val="22"/>
                <w:lang w:eastAsia="en-US"/>
              </w:rPr>
              <w:t xml:space="preserve"> Auswertung </w:t>
            </w:r>
            <w:r w:rsidRPr="006E207A">
              <w:rPr>
                <w:rFonts w:asciiTheme="minorHAnsi" w:hAnsiTheme="minorHAnsi" w:cstheme="minorHAnsi"/>
                <w:sz w:val="22"/>
                <w:szCs w:val="22"/>
                <w:lang w:eastAsia="en-US"/>
              </w:rPr>
              <w:t>an die Bayerische Kinderschutzambulanz rückgemeldet.</w:t>
            </w:r>
          </w:p>
          <w:p w14:paraId="7B0A3D92" w14:textId="6DA8D954" w:rsidR="006E207A" w:rsidRPr="00072386" w:rsidRDefault="006E207A" w:rsidP="00072386">
            <w:pPr>
              <w:pStyle w:val="Listenabsatz"/>
              <w:ind w:left="360"/>
              <w:jc w:val="both"/>
              <w:rPr>
                <w:rFonts w:asciiTheme="minorHAnsi" w:hAnsiTheme="minorHAnsi" w:cstheme="minorHAnsi"/>
                <w:color w:val="000000" w:themeColor="text1"/>
                <w:lang w:eastAsia="en-US"/>
              </w:rPr>
            </w:pPr>
            <w:r w:rsidRPr="00072386">
              <w:rPr>
                <w:rFonts w:asciiTheme="minorHAnsi" w:hAnsiTheme="minorHAnsi" w:cstheme="minorHAnsi"/>
                <w:lang w:eastAsia="en-US"/>
              </w:rPr>
              <w:t xml:space="preserve"> </w:t>
            </w:r>
          </w:p>
        </w:tc>
      </w:tr>
      <w:tr w:rsidR="006E207A" w:rsidRPr="006E207A" w14:paraId="0B8C4269" w14:textId="77777777" w:rsidTr="006E207A">
        <w:tc>
          <w:tcPr>
            <w:tcW w:w="1843" w:type="dxa"/>
            <w:hideMark/>
          </w:tcPr>
          <w:p w14:paraId="4EC53A84" w14:textId="77777777" w:rsidR="006E207A" w:rsidRPr="006E207A" w:rsidRDefault="006E207A">
            <w:pPr>
              <w:rPr>
                <w:rFonts w:cstheme="minorHAnsi"/>
                <w:b/>
              </w:rPr>
            </w:pPr>
            <w:r w:rsidRPr="006E207A">
              <w:rPr>
                <w:rFonts w:cstheme="minorHAnsi"/>
                <w:b/>
              </w:rPr>
              <w:lastRenderedPageBreak/>
              <w:t>Arztbrief-schreibung</w:t>
            </w:r>
          </w:p>
        </w:tc>
        <w:tc>
          <w:tcPr>
            <w:tcW w:w="7366" w:type="dxa"/>
            <w:gridSpan w:val="6"/>
            <w:hideMark/>
          </w:tcPr>
          <w:p w14:paraId="7F62C77F" w14:textId="77777777" w:rsidR="006E207A" w:rsidRPr="006E207A" w:rsidRDefault="006E207A">
            <w:pPr>
              <w:rPr>
                <w:rFonts w:cstheme="minorHAnsi"/>
              </w:rPr>
            </w:pPr>
            <w:r w:rsidRPr="006E207A">
              <w:rPr>
                <w:rFonts w:cstheme="minorHAnsi"/>
              </w:rPr>
              <w:t xml:space="preserve">erfolgt durch den Stationsarzt, im Anschluss Vorlage beim Arzt der KSG, Unterschrift durch OA der Station </w:t>
            </w:r>
            <w:r w:rsidRPr="006E207A">
              <w:rPr>
                <w:rFonts w:cstheme="minorHAnsi"/>
                <w:b/>
              </w:rPr>
              <w:t>und</w:t>
            </w:r>
            <w:r w:rsidRPr="006E207A">
              <w:rPr>
                <w:rFonts w:cstheme="minorHAnsi"/>
              </w:rPr>
              <w:t xml:space="preserve"> Kinderschutz-/Mediziner der KSG.</w:t>
            </w:r>
          </w:p>
        </w:tc>
      </w:tr>
    </w:tbl>
    <w:p w14:paraId="1EDC5F95" w14:textId="77777777" w:rsidR="006E207A" w:rsidRPr="006E207A" w:rsidRDefault="006E207A" w:rsidP="006E207A">
      <w:pPr>
        <w:rPr>
          <w:rFonts w:cstheme="minorHAnsi"/>
        </w:rPr>
      </w:pPr>
    </w:p>
    <w:p w14:paraId="5251A6A7" w14:textId="77777777" w:rsidR="00D10FD4" w:rsidRPr="006E207A" w:rsidRDefault="00D10FD4" w:rsidP="00D10FD4">
      <w:pPr>
        <w:rPr>
          <w:rFonts w:cstheme="minorHAnsi"/>
        </w:rPr>
      </w:pPr>
    </w:p>
    <w:p w14:paraId="2173442A" w14:textId="77777777" w:rsidR="00D10FD4" w:rsidRPr="006E207A" w:rsidRDefault="00D10FD4" w:rsidP="00D10FD4">
      <w:pPr>
        <w:rPr>
          <w:rFonts w:cstheme="minorHAnsi"/>
        </w:rPr>
      </w:pPr>
    </w:p>
    <w:sectPr w:rsidR="00D10FD4" w:rsidRPr="006E207A">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08485" w14:textId="77777777" w:rsidR="004A61AD" w:rsidRDefault="004A61AD" w:rsidP="00D10FD4">
      <w:pPr>
        <w:spacing w:after="0" w:line="240" w:lineRule="auto"/>
      </w:pPr>
      <w:r>
        <w:separator/>
      </w:r>
    </w:p>
  </w:endnote>
  <w:endnote w:type="continuationSeparator" w:id="0">
    <w:p w14:paraId="47A87662" w14:textId="77777777" w:rsidR="004A61AD" w:rsidRDefault="004A61AD" w:rsidP="00D10FD4">
      <w:pPr>
        <w:spacing w:after="0" w:line="240" w:lineRule="auto"/>
      </w:pPr>
      <w:r>
        <w:continuationSeparator/>
      </w:r>
    </w:p>
  </w:endnote>
  <w:endnote w:type="continuationNotice" w:id="1">
    <w:p w14:paraId="37BA4CF9" w14:textId="77777777" w:rsidR="004A61AD" w:rsidRDefault="004A6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DC443" w14:textId="77777777" w:rsidR="004A61AD" w:rsidRDefault="004A61AD" w:rsidP="00D10FD4">
      <w:pPr>
        <w:spacing w:after="0" w:line="240" w:lineRule="auto"/>
      </w:pPr>
      <w:r>
        <w:separator/>
      </w:r>
    </w:p>
  </w:footnote>
  <w:footnote w:type="continuationSeparator" w:id="0">
    <w:p w14:paraId="6C345ACC" w14:textId="77777777" w:rsidR="004A61AD" w:rsidRDefault="004A61AD" w:rsidP="00D10FD4">
      <w:pPr>
        <w:spacing w:after="0" w:line="240" w:lineRule="auto"/>
      </w:pPr>
      <w:r>
        <w:continuationSeparator/>
      </w:r>
    </w:p>
  </w:footnote>
  <w:footnote w:type="continuationNotice" w:id="1">
    <w:p w14:paraId="323CAD5C" w14:textId="77777777" w:rsidR="004A61AD" w:rsidRDefault="004A61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37C59E4C" w:rsidR="00E77BC2" w:rsidRDefault="00736F08">
    <w:pPr>
      <w:pStyle w:val="Kopfzeile"/>
    </w:pPr>
    <w:r>
      <w:rPr>
        <w:noProof/>
        <w:lang w:eastAsia="ja-JP"/>
      </w:rPr>
      <w:drawing>
        <wp:anchor distT="0" distB="0" distL="114300" distR="114300" simplePos="0" relativeHeight="251659265" behindDoc="0" locked="0" layoutInCell="1" allowOverlap="1" wp14:anchorId="1AFA758C" wp14:editId="0064D82B">
          <wp:simplePos x="0" y="0"/>
          <wp:positionH relativeFrom="column">
            <wp:posOffset>-136525</wp:posOffset>
          </wp:positionH>
          <wp:positionV relativeFrom="paragraph">
            <wp:posOffset>-324375</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3A8C68FE">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31F7F"/>
    <w:multiLevelType w:val="hybridMultilevel"/>
    <w:tmpl w:val="D5B2A7B4"/>
    <w:lvl w:ilvl="0" w:tplc="DEA62E8A">
      <w:start w:val="1"/>
      <w:numFmt w:val="bullet"/>
      <w:lvlText w:val=""/>
      <w:lvlJc w:val="left"/>
      <w:pPr>
        <w:ind w:left="720" w:hanging="360"/>
      </w:pPr>
      <w:rPr>
        <w:rFonts w:ascii="Symbol" w:hAnsi="Symbol" w:hint="default"/>
      </w:rPr>
    </w:lvl>
    <w:lvl w:ilvl="1" w:tplc="B64C3788">
      <w:start w:val="1"/>
      <w:numFmt w:val="bullet"/>
      <w:lvlText w:val="o"/>
      <w:lvlJc w:val="left"/>
      <w:pPr>
        <w:ind w:left="1440" w:hanging="360"/>
      </w:pPr>
      <w:rPr>
        <w:rFonts w:ascii="Courier New" w:hAnsi="Courier New" w:cs="Courier New" w:hint="default"/>
      </w:rPr>
    </w:lvl>
    <w:lvl w:ilvl="2" w:tplc="EF80A1F8">
      <w:start w:val="1"/>
      <w:numFmt w:val="bullet"/>
      <w:lvlText w:val=""/>
      <w:lvlJc w:val="left"/>
      <w:pPr>
        <w:ind w:left="2160" w:hanging="360"/>
      </w:pPr>
      <w:rPr>
        <w:rFonts w:ascii="Wingdings" w:hAnsi="Wingdings" w:hint="default"/>
      </w:rPr>
    </w:lvl>
    <w:lvl w:ilvl="3" w:tplc="12BACE4E">
      <w:start w:val="1"/>
      <w:numFmt w:val="bullet"/>
      <w:lvlText w:val=""/>
      <w:lvlJc w:val="left"/>
      <w:pPr>
        <w:ind w:left="2880" w:hanging="360"/>
      </w:pPr>
      <w:rPr>
        <w:rFonts w:ascii="Symbol" w:hAnsi="Symbol" w:hint="default"/>
      </w:rPr>
    </w:lvl>
    <w:lvl w:ilvl="4" w:tplc="32E02014">
      <w:start w:val="1"/>
      <w:numFmt w:val="bullet"/>
      <w:lvlText w:val="o"/>
      <w:lvlJc w:val="left"/>
      <w:pPr>
        <w:ind w:left="3600" w:hanging="360"/>
      </w:pPr>
      <w:rPr>
        <w:rFonts w:ascii="Courier New" w:hAnsi="Courier New" w:cs="Courier New" w:hint="default"/>
      </w:rPr>
    </w:lvl>
    <w:lvl w:ilvl="5" w:tplc="0D0608F8">
      <w:start w:val="1"/>
      <w:numFmt w:val="bullet"/>
      <w:lvlText w:val=""/>
      <w:lvlJc w:val="left"/>
      <w:pPr>
        <w:ind w:left="4320" w:hanging="360"/>
      </w:pPr>
      <w:rPr>
        <w:rFonts w:ascii="Wingdings" w:hAnsi="Wingdings" w:hint="default"/>
      </w:rPr>
    </w:lvl>
    <w:lvl w:ilvl="6" w:tplc="6B703E72">
      <w:start w:val="1"/>
      <w:numFmt w:val="bullet"/>
      <w:lvlText w:val=""/>
      <w:lvlJc w:val="left"/>
      <w:pPr>
        <w:ind w:left="5040" w:hanging="360"/>
      </w:pPr>
      <w:rPr>
        <w:rFonts w:ascii="Symbol" w:hAnsi="Symbol" w:hint="default"/>
      </w:rPr>
    </w:lvl>
    <w:lvl w:ilvl="7" w:tplc="2F623AD8">
      <w:start w:val="1"/>
      <w:numFmt w:val="bullet"/>
      <w:lvlText w:val="o"/>
      <w:lvlJc w:val="left"/>
      <w:pPr>
        <w:ind w:left="5760" w:hanging="360"/>
      </w:pPr>
      <w:rPr>
        <w:rFonts w:ascii="Courier New" w:hAnsi="Courier New" w:cs="Courier New" w:hint="default"/>
      </w:rPr>
    </w:lvl>
    <w:lvl w:ilvl="8" w:tplc="E34431E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072386"/>
    <w:rsid w:val="002151A0"/>
    <w:rsid w:val="004A61AD"/>
    <w:rsid w:val="0054097E"/>
    <w:rsid w:val="0062729F"/>
    <w:rsid w:val="006E207A"/>
    <w:rsid w:val="007047FE"/>
    <w:rsid w:val="00736F08"/>
    <w:rsid w:val="008E3B2D"/>
    <w:rsid w:val="00CD2B8E"/>
    <w:rsid w:val="00D10FD4"/>
    <w:rsid w:val="00D55785"/>
    <w:rsid w:val="00DF234A"/>
    <w:rsid w:val="00E77B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paragraph" w:styleId="Listenabsatz">
    <w:name w:val="List Paragraph"/>
    <w:basedOn w:val="Standard"/>
    <w:uiPriority w:val="34"/>
    <w:qFormat/>
    <w:rsid w:val="006E207A"/>
    <w:pPr>
      <w:spacing w:after="0" w:line="240" w:lineRule="auto"/>
      <w:ind w:left="720"/>
      <w:contextualSpacing/>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6E20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3.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4.xml><?xml version="1.0" encoding="utf-8"?>
<ds:datastoreItem xmlns:ds="http://schemas.openxmlformats.org/officeDocument/2006/customXml" ds:itemID="{5D53A5C8-077F-479E-8E3E-BD76A13D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2024-07-22T10:49:00Z</dcterms:created>
  <dcterms:modified xsi:type="dcterms:W3CDTF">2024-07-22T10:49:00Z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